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9A724" w14:textId="77777777" w:rsidR="00777A0A" w:rsidRPr="00CC6C22" w:rsidRDefault="00777A0A" w:rsidP="00777A0A">
      <w:pPr>
        <w:jc w:val="center"/>
        <w:rPr>
          <w:rFonts w:cstheme="minorHAnsi"/>
          <w:sz w:val="24"/>
          <w:szCs w:val="24"/>
        </w:rPr>
      </w:pPr>
      <w:r w:rsidRPr="00CC6C22">
        <w:rPr>
          <w:rFonts w:ascii="Calibri Light" w:eastAsia="Calibri" w:hAnsi="Calibri Light" w:cs="Arial"/>
          <w:b/>
          <w:sz w:val="36"/>
        </w:rPr>
        <w:t xml:space="preserve">Pan-Sussex Child Protection &amp; Safeguarding Policy &amp; Procedures Group - </w:t>
      </w:r>
      <w:r w:rsidRPr="00CC6C22">
        <w:rPr>
          <w:rFonts w:ascii="Calibri Light" w:eastAsia="Calibri" w:hAnsi="Calibri Light" w:cs="Arial"/>
          <w:sz w:val="36"/>
        </w:rPr>
        <w:t>Briefing for staff</w:t>
      </w:r>
    </w:p>
    <w:p w14:paraId="7BADC87F" w14:textId="4B739E46" w:rsidR="00AC6F00" w:rsidRPr="00CC6C22" w:rsidRDefault="00AC6F00" w:rsidP="005F5553">
      <w:pPr>
        <w:shd w:val="clear" w:color="auto" w:fill="DEEAF6"/>
        <w:spacing w:after="225" w:line="240" w:lineRule="auto"/>
        <w:rPr>
          <w:rFonts w:ascii="Calibri Light" w:hAnsi="Calibri Light" w:cs="Calibri Light"/>
          <w:color w:val="000000" w:themeColor="text1"/>
          <w:sz w:val="28"/>
          <w:szCs w:val="28"/>
        </w:rPr>
      </w:pPr>
      <w:r w:rsidRPr="00CC6C22">
        <w:rPr>
          <w:rFonts w:ascii="Calibri Light" w:eastAsia="Calibri" w:hAnsi="Calibri Light" w:cs="Calibri Light"/>
          <w:sz w:val="28"/>
          <w:szCs w:val="28"/>
        </w:rPr>
        <w:t>The Pan-Sussex Child Protection &amp; Safeguarding Policy &amp; Procedures Group met on</w:t>
      </w:r>
      <w:r w:rsidR="005D7A0E" w:rsidRPr="00CC6C22">
        <w:rPr>
          <w:rFonts w:ascii="Calibri Light" w:eastAsia="Calibri" w:hAnsi="Calibri Light" w:cs="Calibri Light"/>
          <w:sz w:val="28"/>
          <w:szCs w:val="28"/>
        </w:rPr>
        <w:t xml:space="preserve"> </w:t>
      </w:r>
      <w:r w:rsidR="001779AD">
        <w:rPr>
          <w:rFonts w:ascii="Calibri Light" w:eastAsia="Calibri" w:hAnsi="Calibri Light" w:cs="Calibri Light"/>
          <w:sz w:val="28"/>
          <w:szCs w:val="28"/>
        </w:rPr>
        <w:t>4 October 2021</w:t>
      </w:r>
      <w:r w:rsidRPr="00CC6C22">
        <w:rPr>
          <w:rFonts w:ascii="Calibri Light" w:eastAsia="Calibri" w:hAnsi="Calibri Light" w:cs="Calibri Light"/>
          <w:sz w:val="28"/>
          <w:szCs w:val="28"/>
        </w:rPr>
        <w:t xml:space="preserve">. This briefing provides updates on changes to the policies and procedures reviewed by the group. </w:t>
      </w:r>
    </w:p>
    <w:p w14:paraId="54F1A7B9" w14:textId="0F0EC827" w:rsidR="00CC6C22" w:rsidRPr="00CC6C22" w:rsidRDefault="00CC3C1E" w:rsidP="00FC26CD">
      <w:pPr>
        <w:rPr>
          <w:rFonts w:cstheme="minorHAnsi"/>
          <w:b/>
          <w:bCs/>
          <w:color w:val="000000"/>
        </w:rPr>
      </w:pPr>
      <w:r>
        <w:rPr>
          <w:noProof/>
          <w:lang w:eastAsia="en-GB"/>
        </w:rPr>
        <w:drawing>
          <wp:anchor distT="0" distB="0" distL="114300" distR="114300" simplePos="0" relativeHeight="251783680" behindDoc="0" locked="0" layoutInCell="1" allowOverlap="1" wp14:anchorId="01FE9161" wp14:editId="1E682078">
            <wp:simplePos x="0" y="0"/>
            <wp:positionH relativeFrom="column">
              <wp:posOffset>4246245</wp:posOffset>
            </wp:positionH>
            <wp:positionV relativeFrom="paragraph">
              <wp:posOffset>237490</wp:posOffset>
            </wp:positionV>
            <wp:extent cx="871220" cy="87630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71220" cy="876300"/>
                    </a:xfrm>
                    <a:prstGeom prst="rect">
                      <a:avLst/>
                    </a:prstGeom>
                  </pic:spPr>
                </pic:pic>
              </a:graphicData>
            </a:graphic>
            <wp14:sizeRelH relativeFrom="page">
              <wp14:pctWidth>0</wp14:pctWidth>
            </wp14:sizeRelH>
            <wp14:sizeRelV relativeFrom="page">
              <wp14:pctHeight>0</wp14:pctHeight>
            </wp14:sizeRelV>
          </wp:anchor>
        </w:drawing>
      </w:r>
      <w:r w:rsidR="005A59A7">
        <w:rPr>
          <w:noProof/>
          <w:lang w:eastAsia="en-GB"/>
        </w:rPr>
        <w:drawing>
          <wp:anchor distT="0" distB="0" distL="114300" distR="114300" simplePos="0" relativeHeight="251782656" behindDoc="0" locked="0" layoutInCell="1" allowOverlap="1" wp14:anchorId="7EEAA55A" wp14:editId="3C889E9A">
            <wp:simplePos x="0" y="0"/>
            <wp:positionH relativeFrom="column">
              <wp:posOffset>5111115</wp:posOffset>
            </wp:positionH>
            <wp:positionV relativeFrom="paragraph">
              <wp:posOffset>227965</wp:posOffset>
            </wp:positionV>
            <wp:extent cx="913765" cy="89535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3765" cy="895350"/>
                    </a:xfrm>
                    <a:prstGeom prst="rect">
                      <a:avLst/>
                    </a:prstGeom>
                  </pic:spPr>
                </pic:pic>
              </a:graphicData>
            </a:graphic>
            <wp14:sizeRelH relativeFrom="page">
              <wp14:pctWidth>0</wp14:pctWidth>
            </wp14:sizeRelH>
            <wp14:sizeRelV relativeFrom="page">
              <wp14:pctHeight>0</wp14:pctHeight>
            </wp14:sizeRelV>
          </wp:anchor>
        </w:drawing>
      </w:r>
      <w:r w:rsidR="005A59A7">
        <w:rPr>
          <w:b/>
          <w:bCs/>
          <w:sz w:val="24"/>
          <w:szCs w:val="24"/>
        </w:rPr>
        <w:t xml:space="preserve"> </w:t>
      </w:r>
    </w:p>
    <w:p w14:paraId="4321F115" w14:textId="2EEDBE81" w:rsidR="001779AD" w:rsidRPr="005A59A7" w:rsidRDefault="00CF3F75" w:rsidP="006F3DE5">
      <w:pPr>
        <w:shd w:val="clear" w:color="auto" w:fill="FDE9D9" w:themeFill="accent6" w:themeFillTint="33"/>
        <w:spacing w:after="0" w:line="240" w:lineRule="auto"/>
        <w:rPr>
          <w:sz w:val="28"/>
          <w:szCs w:val="28"/>
        </w:rPr>
      </w:pPr>
      <w:hyperlink r:id="rId9" w:anchor="s4387" w:history="1">
        <w:r w:rsidR="005A59A7" w:rsidRPr="005A59A7">
          <w:rPr>
            <w:rStyle w:val="Hyperlink"/>
            <w:sz w:val="28"/>
            <w:szCs w:val="28"/>
          </w:rPr>
          <w:t xml:space="preserve"> Young people and substance misuse</w:t>
        </w:r>
      </w:hyperlink>
    </w:p>
    <w:p w14:paraId="5A55A4EF" w14:textId="32455DC7" w:rsidR="00CC6C22" w:rsidRPr="00CC3C1E" w:rsidRDefault="00CC6C22" w:rsidP="005A59A7">
      <w:pPr>
        <w:shd w:val="clear" w:color="auto" w:fill="FDE9D9" w:themeFill="accent6" w:themeFillTint="33"/>
        <w:spacing w:after="0" w:line="240" w:lineRule="auto"/>
        <w:rPr>
          <w:rFonts w:ascii="Calibri" w:eastAsia="Times New Roman" w:hAnsi="Calibri" w:cs="Calibri"/>
          <w:bCs/>
          <w:lang w:eastAsia="en-GB"/>
        </w:rPr>
      </w:pPr>
      <w:r w:rsidRPr="00CC6C22">
        <w:rPr>
          <w:rFonts w:ascii="Calibri" w:eastAsia="Times New Roman" w:hAnsi="Calibri" w:cs="Calibri"/>
          <w:lang w:eastAsia="en-GB"/>
        </w:rPr>
        <w:t> </w:t>
      </w:r>
    </w:p>
    <w:p w14:paraId="347FAAC3" w14:textId="20C6D4FB" w:rsidR="00CC3C1E" w:rsidRDefault="005A59A7" w:rsidP="005A59A7">
      <w:pPr>
        <w:shd w:val="clear" w:color="auto" w:fill="FDE9D9" w:themeFill="accent6" w:themeFillTint="33"/>
        <w:spacing w:after="0" w:line="240" w:lineRule="auto"/>
        <w:rPr>
          <w:rFonts w:ascii="Calibri" w:eastAsia="Times New Roman" w:hAnsi="Calibri" w:cs="Calibri"/>
          <w:bCs/>
          <w:lang w:eastAsia="en-GB"/>
        </w:rPr>
      </w:pPr>
      <w:r w:rsidRPr="00CC3C1E">
        <w:rPr>
          <w:rFonts w:ascii="Calibri" w:eastAsia="Times New Roman" w:hAnsi="Calibri" w:cs="Calibri"/>
          <w:bCs/>
          <w:lang w:eastAsia="en-GB"/>
        </w:rPr>
        <w:t>All substances, including alcohol carry potential risks if mis</w:t>
      </w:r>
      <w:r w:rsidR="00CC3C1E">
        <w:rPr>
          <w:rFonts w:ascii="Calibri" w:eastAsia="Times New Roman" w:hAnsi="Calibri" w:cs="Calibri"/>
          <w:bCs/>
          <w:lang w:eastAsia="en-GB"/>
        </w:rPr>
        <w:t>-</w:t>
      </w:r>
      <w:r w:rsidRPr="00CC3C1E">
        <w:rPr>
          <w:rFonts w:ascii="Calibri" w:eastAsia="Times New Roman" w:hAnsi="Calibri" w:cs="Calibri"/>
          <w:bCs/>
          <w:lang w:eastAsia="en-GB"/>
        </w:rPr>
        <w:t xml:space="preserve">used. </w:t>
      </w:r>
    </w:p>
    <w:p w14:paraId="0FFA17AB" w14:textId="222D0759" w:rsidR="005A59A7" w:rsidRPr="00CC3C1E" w:rsidRDefault="005A59A7" w:rsidP="005A59A7">
      <w:pPr>
        <w:shd w:val="clear" w:color="auto" w:fill="FDE9D9" w:themeFill="accent6" w:themeFillTint="33"/>
        <w:spacing w:after="0" w:line="240" w:lineRule="auto"/>
        <w:rPr>
          <w:rFonts w:ascii="Calibri" w:eastAsia="Times New Roman" w:hAnsi="Calibri" w:cs="Calibri"/>
          <w:bCs/>
          <w:lang w:eastAsia="en-GB"/>
        </w:rPr>
      </w:pPr>
      <w:r w:rsidRPr="00CC3C1E">
        <w:rPr>
          <w:rFonts w:ascii="Calibri" w:eastAsia="Times New Roman" w:hAnsi="Calibri" w:cs="Calibri"/>
          <w:bCs/>
          <w:lang w:eastAsia="en-GB"/>
        </w:rPr>
        <w:t xml:space="preserve">There is no ‘safe’ limit for children and young people. </w:t>
      </w:r>
    </w:p>
    <w:p w14:paraId="030BCEFA" w14:textId="6A80F777" w:rsidR="005A59A7" w:rsidRPr="00CC3C1E" w:rsidRDefault="005A59A7" w:rsidP="005A59A7">
      <w:pPr>
        <w:shd w:val="clear" w:color="auto" w:fill="FDE9D9" w:themeFill="accent6" w:themeFillTint="33"/>
        <w:spacing w:after="0" w:line="240" w:lineRule="auto"/>
        <w:rPr>
          <w:rFonts w:ascii="Calibri" w:eastAsia="Times New Roman" w:hAnsi="Calibri" w:cs="Calibri"/>
          <w:bCs/>
          <w:lang w:eastAsia="en-GB"/>
        </w:rPr>
      </w:pPr>
    </w:p>
    <w:p w14:paraId="4F1732FA" w14:textId="77777777" w:rsidR="00CC3C1E" w:rsidRPr="00CC3C1E" w:rsidRDefault="00CC3C1E" w:rsidP="00CC3C1E">
      <w:pPr>
        <w:shd w:val="clear" w:color="auto" w:fill="FDE9D9" w:themeFill="accent6" w:themeFillTint="33"/>
        <w:rPr>
          <w:rFonts w:ascii="Calibri" w:eastAsia="Times New Roman" w:hAnsi="Calibri" w:cs="Calibri"/>
          <w:bCs/>
          <w:lang w:eastAsia="en-GB"/>
        </w:rPr>
      </w:pPr>
      <w:r w:rsidRPr="00CC3C1E">
        <w:rPr>
          <w:rFonts w:ascii="Calibri" w:eastAsia="Times New Roman" w:hAnsi="Calibri" w:cs="Calibri"/>
          <w:bCs/>
          <w:lang w:eastAsia="en-GB"/>
        </w:rPr>
        <w:t>In terms of the recognition of problematic substance use, the following common indicators should be considered:</w:t>
      </w:r>
    </w:p>
    <w:p w14:paraId="480B879F"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Daily use</w:t>
      </w:r>
    </w:p>
    <w:p w14:paraId="7D5EC0B1"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Daily use more than once a day</w:t>
      </w:r>
    </w:p>
    <w:p w14:paraId="37132FA7"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Missing overnight or returning home late</w:t>
      </w:r>
    </w:p>
    <w:p w14:paraId="7617DC20"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Excessive mood swings, which seem to follow periods of use</w:t>
      </w:r>
    </w:p>
    <w:p w14:paraId="0C64BC40"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Marked deterioration in a young person's mental wellbeing</w:t>
      </w:r>
    </w:p>
    <w:p w14:paraId="0F96AA36"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Frequent tensions and complaints of money/property being taken without permission</w:t>
      </w:r>
    </w:p>
    <w:p w14:paraId="220C8D9F"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School absenteeism and/or exclusion from school in relation to substance use</w:t>
      </w:r>
    </w:p>
    <w:p w14:paraId="56A1C27C"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A sudden drop in educational attainment</w:t>
      </w:r>
    </w:p>
    <w:p w14:paraId="16AEF1F4"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Risky methods of use such as using alone, or in rare circumstances, injecting</w:t>
      </w:r>
    </w:p>
    <w:p w14:paraId="5084EE7D"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Marked deterioration in physical health, with no clear explanation</w:t>
      </w:r>
    </w:p>
    <w:p w14:paraId="16BE0AE1"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Frequent contact with criminal justice system in relation to substance misuse</w:t>
      </w:r>
    </w:p>
    <w:p w14:paraId="13B40892"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Frequent attendance at the A &amp; E department</w:t>
      </w:r>
    </w:p>
    <w:p w14:paraId="7CB990AB"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 xml:space="preserve">Rapid weight loss / gain </w:t>
      </w:r>
    </w:p>
    <w:p w14:paraId="75EFE2D5"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Sleeplessness</w:t>
      </w:r>
    </w:p>
    <w:p w14:paraId="0EDE092E" w14:textId="77777777" w:rsidR="00CC3C1E" w:rsidRPr="00CC3C1E" w:rsidRDefault="00CC3C1E" w:rsidP="00CC3C1E">
      <w:pPr>
        <w:numPr>
          <w:ilvl w:val="0"/>
          <w:numId w:val="32"/>
        </w:numPr>
        <w:shd w:val="clear" w:color="auto" w:fill="FDE9D9" w:themeFill="accent6" w:themeFillTint="33"/>
        <w:spacing w:before="100" w:beforeAutospacing="1" w:after="100" w:afterAutospacing="1" w:line="240" w:lineRule="auto"/>
        <w:rPr>
          <w:rFonts w:ascii="Calibri" w:eastAsia="Times New Roman" w:hAnsi="Calibri" w:cs="Calibri"/>
          <w:bCs/>
          <w:lang w:eastAsia="en-GB"/>
        </w:rPr>
      </w:pPr>
      <w:r w:rsidRPr="00CC3C1E">
        <w:rPr>
          <w:rFonts w:ascii="Calibri" w:eastAsia="Times New Roman" w:hAnsi="Calibri" w:cs="Calibri"/>
          <w:bCs/>
          <w:lang w:eastAsia="en-GB"/>
        </w:rPr>
        <w:t>Drug debt</w:t>
      </w:r>
    </w:p>
    <w:p w14:paraId="7712F0AA" w14:textId="77777777" w:rsidR="00CC3C1E" w:rsidRPr="00CC3C1E" w:rsidRDefault="00CC3C1E" w:rsidP="00CC3C1E">
      <w:pPr>
        <w:pStyle w:val="ListParagraph"/>
        <w:numPr>
          <w:ilvl w:val="0"/>
          <w:numId w:val="32"/>
        </w:numPr>
        <w:shd w:val="clear" w:color="auto" w:fill="FDE9D9" w:themeFill="accent6" w:themeFillTint="33"/>
        <w:spacing w:after="160" w:line="259" w:lineRule="auto"/>
        <w:rPr>
          <w:rFonts w:ascii="Calibri" w:eastAsia="Times New Roman" w:hAnsi="Calibri" w:cs="Calibri"/>
          <w:bCs/>
          <w:lang w:eastAsia="en-GB"/>
        </w:rPr>
      </w:pPr>
      <w:r w:rsidRPr="00CC3C1E">
        <w:rPr>
          <w:rFonts w:ascii="Calibri" w:eastAsia="Times New Roman" w:hAnsi="Calibri" w:cs="Calibri"/>
          <w:bCs/>
          <w:lang w:eastAsia="en-GB"/>
        </w:rPr>
        <w:t>Giving up activities previously enjoyed by the young person.</w:t>
      </w:r>
    </w:p>
    <w:p w14:paraId="3D01E89C" w14:textId="3DC62625" w:rsidR="005A59A7" w:rsidRDefault="00CC3C1E" w:rsidP="00CC3C1E">
      <w:pPr>
        <w:shd w:val="clear" w:color="auto" w:fill="EEECE1" w:themeFill="background2"/>
        <w:spacing w:after="0" w:line="240" w:lineRule="auto"/>
        <w:rPr>
          <w:rFonts w:ascii="Arial" w:eastAsia="Times New Roman" w:hAnsi="Arial" w:cs="Arial"/>
          <w:b/>
          <w:bCs/>
          <w:color w:val="000000"/>
          <w:sz w:val="27"/>
          <w:szCs w:val="27"/>
          <w:lang w:eastAsia="en-GB"/>
        </w:rPr>
      </w:pPr>
      <w:r w:rsidRPr="00694CA8">
        <w:rPr>
          <w:rFonts w:ascii="Arial" w:eastAsia="Times New Roman" w:hAnsi="Arial" w:cs="Arial"/>
          <w:b/>
          <w:bCs/>
          <w:color w:val="000000"/>
          <w:sz w:val="27"/>
          <w:szCs w:val="27"/>
          <w:lang w:eastAsia="en-GB"/>
        </w:rPr>
        <w:t>Drug debt entrapment</w:t>
      </w:r>
    </w:p>
    <w:p w14:paraId="75B21CA6" w14:textId="14A1597F" w:rsidR="00CC3C1E" w:rsidRDefault="00CC3C1E" w:rsidP="00CC3C1E">
      <w:pPr>
        <w:shd w:val="clear" w:color="auto" w:fill="EEECE1" w:themeFill="background2"/>
        <w:spacing w:after="0" w:line="240" w:lineRule="auto"/>
        <w:rPr>
          <w:rFonts w:ascii="Arial" w:eastAsia="Times New Roman" w:hAnsi="Arial" w:cs="Arial"/>
          <w:b/>
          <w:bCs/>
          <w:color w:val="000000"/>
          <w:sz w:val="27"/>
          <w:szCs w:val="27"/>
          <w:lang w:eastAsia="en-GB"/>
        </w:rPr>
      </w:pPr>
      <w:r>
        <w:rPr>
          <w:noProof/>
          <w:lang w:eastAsia="en-GB"/>
        </w:rPr>
        <w:drawing>
          <wp:anchor distT="0" distB="0" distL="114300" distR="114300" simplePos="0" relativeHeight="251784704" behindDoc="0" locked="0" layoutInCell="1" allowOverlap="1" wp14:anchorId="0CF32CB7" wp14:editId="72AF1844">
            <wp:simplePos x="0" y="0"/>
            <wp:positionH relativeFrom="margin">
              <wp:align>left</wp:align>
            </wp:positionH>
            <wp:positionV relativeFrom="paragraph">
              <wp:posOffset>11430</wp:posOffset>
            </wp:positionV>
            <wp:extent cx="950595" cy="120015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9012" cy="1210461"/>
                    </a:xfrm>
                    <a:prstGeom prst="rect">
                      <a:avLst/>
                    </a:prstGeom>
                  </pic:spPr>
                </pic:pic>
              </a:graphicData>
            </a:graphic>
            <wp14:sizeRelH relativeFrom="page">
              <wp14:pctWidth>0</wp14:pctWidth>
            </wp14:sizeRelH>
            <wp14:sizeRelV relativeFrom="page">
              <wp14:pctHeight>0</wp14:pctHeight>
            </wp14:sizeRelV>
          </wp:anchor>
        </w:drawing>
      </w:r>
    </w:p>
    <w:p w14:paraId="62420D6C" w14:textId="225140BB" w:rsidR="00CC3C1E" w:rsidRDefault="00CC3C1E" w:rsidP="00CC3C1E">
      <w:pPr>
        <w:shd w:val="clear" w:color="auto" w:fill="EEECE1" w:themeFill="background2"/>
        <w:spacing w:after="0" w:line="240" w:lineRule="auto"/>
        <w:rPr>
          <w:rFonts w:eastAsia="Times New Roman" w:cstheme="minorHAnsi"/>
          <w:color w:val="000000"/>
          <w:lang w:eastAsia="en-GB"/>
        </w:rPr>
      </w:pPr>
      <w:r>
        <w:rPr>
          <w:rFonts w:eastAsia="Times New Roman" w:cstheme="minorHAnsi"/>
          <w:color w:val="000000"/>
          <w:lang w:eastAsia="en-GB"/>
        </w:rPr>
        <w:t xml:space="preserve">A new section on drug debt entrapment has been added. </w:t>
      </w:r>
      <w:r w:rsidRPr="00CC3C1E">
        <w:rPr>
          <w:rFonts w:eastAsia="Times New Roman" w:cstheme="minorHAnsi"/>
          <w:color w:val="000000"/>
          <w:lang w:eastAsia="en-GB"/>
        </w:rPr>
        <w:t xml:space="preserve">Children and young people who are being exploited by organised crime networks or county lines gangs can often run up drug debts as a form of trapping the child or young person into exploitation. If children or young people are in debt and it is unclear where it has come from this is very much a clear indicator of potential exploitation and needs to be referred to Children’s Services. </w:t>
      </w:r>
    </w:p>
    <w:p w14:paraId="64B4130A" w14:textId="77777777" w:rsidR="00CC3C1E" w:rsidRDefault="00CC3C1E" w:rsidP="00CC3C1E">
      <w:pPr>
        <w:shd w:val="clear" w:color="auto" w:fill="EEECE1" w:themeFill="background2"/>
        <w:spacing w:after="0" w:line="240" w:lineRule="auto"/>
        <w:rPr>
          <w:rFonts w:eastAsia="Times New Roman" w:cstheme="minorHAnsi"/>
          <w:color w:val="000000"/>
          <w:lang w:eastAsia="en-GB"/>
        </w:rPr>
      </w:pPr>
    </w:p>
    <w:p w14:paraId="3D4E0184" w14:textId="3B6B8D04" w:rsidR="005A59A7" w:rsidRDefault="00CC3C1E" w:rsidP="00CC3C1E">
      <w:pPr>
        <w:shd w:val="clear" w:color="auto" w:fill="EEECE1" w:themeFill="background2"/>
        <w:spacing w:after="0" w:line="240" w:lineRule="auto"/>
        <w:rPr>
          <w:rFonts w:ascii="Calibri" w:eastAsia="Times New Roman" w:hAnsi="Calibri" w:cs="Calibri"/>
          <w:b/>
          <w:lang w:eastAsia="en-GB"/>
        </w:rPr>
      </w:pPr>
      <w:r w:rsidRPr="00CC3C1E">
        <w:rPr>
          <w:rFonts w:eastAsia="Times New Roman" w:cstheme="minorHAnsi"/>
          <w:color w:val="000000"/>
          <w:lang w:eastAsia="en-GB"/>
        </w:rPr>
        <w:t>In these circumstances professionals should act in accordance with the </w:t>
      </w:r>
      <w:hyperlink r:id="rId11" w:history="1">
        <w:r w:rsidRPr="00CC3C1E">
          <w:rPr>
            <w:rFonts w:eastAsia="Times New Roman" w:cstheme="minorHAnsi"/>
            <w:color w:val="0076A3"/>
            <w:u w:val="single"/>
            <w:lang w:eastAsia="en-GB"/>
          </w:rPr>
          <w:t>Making a Referral Procedure</w:t>
        </w:r>
      </w:hyperlink>
    </w:p>
    <w:p w14:paraId="46631DDB" w14:textId="77777777" w:rsidR="005A59A7" w:rsidRPr="00CC6C22" w:rsidRDefault="005A59A7" w:rsidP="00CC3C1E">
      <w:pPr>
        <w:shd w:val="clear" w:color="auto" w:fill="EEECE1" w:themeFill="background2"/>
        <w:spacing w:after="0" w:line="240" w:lineRule="auto"/>
        <w:rPr>
          <w:rFonts w:ascii="Calibri" w:eastAsia="Times New Roman" w:hAnsi="Calibri" w:cs="Calibri"/>
          <w:lang w:eastAsia="en-GB"/>
        </w:rPr>
      </w:pPr>
    </w:p>
    <w:p w14:paraId="22A552E5" w14:textId="77777777" w:rsidR="00CC6C22" w:rsidRDefault="00CC6C22" w:rsidP="00CC6C22">
      <w:pPr>
        <w:spacing w:after="0" w:line="240" w:lineRule="auto"/>
        <w:rPr>
          <w:rFonts w:ascii="Calibri" w:eastAsia="Times New Roman" w:hAnsi="Calibri" w:cs="Calibri"/>
          <w:lang w:eastAsia="en-GB"/>
        </w:rPr>
      </w:pPr>
    </w:p>
    <w:p w14:paraId="3B69EE83" w14:textId="077CAC13" w:rsidR="00CC6C22" w:rsidRDefault="00CC6C22" w:rsidP="00CC6C22">
      <w:pPr>
        <w:spacing w:after="0" w:line="240" w:lineRule="auto"/>
        <w:rPr>
          <w:rFonts w:ascii="Calibri" w:eastAsia="Times New Roman" w:hAnsi="Calibri" w:cs="Calibri"/>
          <w:color w:val="0070C0"/>
          <w:lang w:eastAsia="en-GB"/>
        </w:rPr>
      </w:pPr>
      <w:r w:rsidRPr="00CC6C22">
        <w:rPr>
          <w:rFonts w:ascii="Calibri" w:eastAsia="Times New Roman" w:hAnsi="Calibri" w:cs="Calibri"/>
          <w:color w:val="0070C0"/>
          <w:lang w:eastAsia="en-GB"/>
        </w:rPr>
        <w:t> </w:t>
      </w:r>
    </w:p>
    <w:p w14:paraId="54E2102B" w14:textId="7F933575" w:rsidR="00E3058E" w:rsidRDefault="00E3058E" w:rsidP="00CC6C22">
      <w:pPr>
        <w:spacing w:after="0" w:line="240" w:lineRule="auto"/>
        <w:rPr>
          <w:rFonts w:ascii="Calibri" w:eastAsia="Times New Roman" w:hAnsi="Calibri" w:cs="Calibri"/>
          <w:color w:val="0070C0"/>
          <w:lang w:eastAsia="en-GB"/>
        </w:rPr>
      </w:pPr>
    </w:p>
    <w:p w14:paraId="4D76C2AA" w14:textId="77777777" w:rsidR="00E3058E" w:rsidRDefault="00E3058E" w:rsidP="00CC6C22">
      <w:pPr>
        <w:spacing w:after="0" w:line="240" w:lineRule="auto"/>
        <w:rPr>
          <w:rFonts w:ascii="Calibri" w:eastAsia="Times New Roman" w:hAnsi="Calibri" w:cs="Calibri"/>
          <w:color w:val="0070C0"/>
          <w:lang w:eastAsia="en-GB"/>
        </w:rPr>
      </w:pPr>
    </w:p>
    <w:p w14:paraId="3EA466D2" w14:textId="3B3D2332" w:rsidR="00CC3C1E" w:rsidRPr="003C018D" w:rsidRDefault="00CF3F75" w:rsidP="00FC26CD">
      <w:pPr>
        <w:shd w:val="clear" w:color="auto" w:fill="DBE5F1" w:themeFill="accent1" w:themeFillTint="33"/>
        <w:rPr>
          <w:sz w:val="28"/>
          <w:szCs w:val="28"/>
        </w:rPr>
      </w:pPr>
      <w:hyperlink r:id="rId12" w:anchor="s4338" w:history="1">
        <w:r w:rsidR="003C018D" w:rsidRPr="003C018D">
          <w:rPr>
            <w:rStyle w:val="Hyperlink"/>
            <w:sz w:val="28"/>
            <w:szCs w:val="28"/>
          </w:rPr>
          <w:t xml:space="preserve">Criminal and sexual exploitation including serious organised crime and gangs </w:t>
        </w:r>
      </w:hyperlink>
      <w:r w:rsidR="003C018D" w:rsidRPr="003C018D">
        <w:rPr>
          <w:sz w:val="28"/>
          <w:szCs w:val="28"/>
        </w:rPr>
        <w:t xml:space="preserve"> </w:t>
      </w:r>
    </w:p>
    <w:p w14:paraId="37E77615" w14:textId="258517E6" w:rsidR="00CC3C1E" w:rsidRDefault="003C018D" w:rsidP="00FC26CD">
      <w:pPr>
        <w:shd w:val="clear" w:color="auto" w:fill="DBE5F1" w:themeFill="accent1" w:themeFillTint="33"/>
      </w:pPr>
      <w:r>
        <w:t xml:space="preserve">This policy has undergone a substantial re-write. It now includes serious organised crime and gangs, which was a standalone policy previously. </w:t>
      </w:r>
    </w:p>
    <w:p w14:paraId="49F604AF" w14:textId="3F9B092C" w:rsidR="003C018D" w:rsidRDefault="003C018D" w:rsidP="00FC26CD">
      <w:pPr>
        <w:shd w:val="clear" w:color="auto" w:fill="DBE5F1" w:themeFill="accent1" w:themeFillTint="33"/>
      </w:pPr>
      <w:r>
        <w:t xml:space="preserve">The revised policy now includes the follow additions:  </w:t>
      </w:r>
    </w:p>
    <w:p w14:paraId="07D883B6" w14:textId="0F28A04F" w:rsidR="003C018D" w:rsidRPr="003C018D" w:rsidRDefault="003C018D" w:rsidP="00FC26CD">
      <w:pPr>
        <w:shd w:val="clear" w:color="auto" w:fill="DBE5F1" w:themeFill="accent1" w:themeFillTint="33"/>
        <w:rPr>
          <w:b/>
          <w:bCs/>
          <w:sz w:val="28"/>
          <w:szCs w:val="28"/>
        </w:rPr>
      </w:pPr>
      <w:proofErr w:type="spellStart"/>
      <w:r w:rsidRPr="003C018D">
        <w:rPr>
          <w:b/>
          <w:bCs/>
          <w:sz w:val="28"/>
          <w:szCs w:val="28"/>
        </w:rPr>
        <w:t>Incel</w:t>
      </w:r>
      <w:proofErr w:type="spellEnd"/>
      <w:r w:rsidRPr="003C018D">
        <w:rPr>
          <w:b/>
          <w:bCs/>
          <w:sz w:val="28"/>
          <w:szCs w:val="28"/>
        </w:rPr>
        <w:t xml:space="preserve"> ideology </w:t>
      </w:r>
    </w:p>
    <w:p w14:paraId="705EDF34" w14:textId="4FBFE9E4" w:rsidR="003C018D" w:rsidRDefault="003C018D" w:rsidP="00FC26CD">
      <w:pPr>
        <w:shd w:val="clear" w:color="auto" w:fill="DBE5F1" w:themeFill="accent1" w:themeFillTint="33"/>
      </w:pPr>
      <w:r w:rsidRPr="003C018D">
        <w:t xml:space="preserve"> ‘</w:t>
      </w:r>
      <w:proofErr w:type="spellStart"/>
      <w:r w:rsidR="00131AA0">
        <w:t>I</w:t>
      </w:r>
      <w:r w:rsidRPr="003C018D">
        <w:t>ncel</w:t>
      </w:r>
      <w:proofErr w:type="spellEnd"/>
      <w:r w:rsidRPr="003C018D">
        <w:t xml:space="preserve">’ describes a growing online subculture of predominantly men or boys who define themselves as unable to get a romantic or sexual partner despite desiring one. </w:t>
      </w:r>
      <w:proofErr w:type="spellStart"/>
      <w:r w:rsidRPr="003C018D">
        <w:t>Incel</w:t>
      </w:r>
      <w:proofErr w:type="spellEnd"/>
      <w:r w:rsidRPr="003C018D">
        <w:t xml:space="preserve"> refers to ‘</w:t>
      </w:r>
      <w:r w:rsidR="00CF3F75">
        <w:t>involuntary</w:t>
      </w:r>
      <w:r w:rsidRPr="003C018D">
        <w:t xml:space="preserve"> celibate’. This ideology was growing in popularity prior the COVID-19 pandemic however there are very real fears that this has been exacerbated due to the increasing amount of time that already socially isolated individuals with little stake in society have spent online during lockdown restrictions.</w:t>
      </w:r>
    </w:p>
    <w:p w14:paraId="03903451" w14:textId="556DC7C8" w:rsidR="003C018D" w:rsidRPr="003C018D" w:rsidRDefault="003C018D" w:rsidP="003C018D">
      <w:pPr>
        <w:pStyle w:val="NormalWeb"/>
        <w:shd w:val="clear" w:color="auto" w:fill="DAEEF3" w:themeFill="accent5" w:themeFillTint="33"/>
        <w:spacing w:before="0" w:beforeAutospacing="0" w:after="120" w:afterAutospacing="0"/>
        <w:rPr>
          <w:rFonts w:asciiTheme="minorHAnsi" w:eastAsiaTheme="minorHAnsi" w:hAnsiTheme="minorHAnsi" w:cstheme="minorBidi"/>
          <w:b/>
          <w:bCs/>
          <w:sz w:val="28"/>
          <w:szCs w:val="28"/>
          <w:lang w:eastAsia="en-US"/>
        </w:rPr>
      </w:pPr>
      <w:proofErr w:type="spellStart"/>
      <w:r w:rsidRPr="003C018D">
        <w:rPr>
          <w:rFonts w:asciiTheme="minorHAnsi" w:eastAsiaTheme="minorHAnsi" w:hAnsiTheme="minorHAnsi" w:cstheme="minorBidi"/>
          <w:b/>
          <w:bCs/>
          <w:sz w:val="28"/>
          <w:szCs w:val="28"/>
          <w:lang w:eastAsia="en-US"/>
        </w:rPr>
        <w:t>Adultification</w:t>
      </w:r>
      <w:proofErr w:type="spellEnd"/>
      <w:r w:rsidRPr="003C018D">
        <w:rPr>
          <w:rFonts w:asciiTheme="minorHAnsi" w:eastAsiaTheme="minorHAnsi" w:hAnsiTheme="minorHAnsi" w:cstheme="minorBidi"/>
          <w:b/>
          <w:bCs/>
          <w:sz w:val="28"/>
          <w:szCs w:val="28"/>
          <w:lang w:eastAsia="en-US"/>
        </w:rPr>
        <w:t xml:space="preserve"> bias</w:t>
      </w:r>
    </w:p>
    <w:p w14:paraId="4D352B01" w14:textId="026A9867" w:rsidR="003C018D" w:rsidRDefault="003C018D" w:rsidP="00131AA0">
      <w:pPr>
        <w:pStyle w:val="NormalWeb"/>
        <w:shd w:val="clear" w:color="auto" w:fill="DAEEF3" w:themeFill="accent5" w:themeFillTint="33"/>
        <w:spacing w:before="0" w:beforeAutospacing="0" w:after="120" w:afterAutospacing="0"/>
        <w:rPr>
          <w:rFonts w:ascii="Roboto" w:hAnsi="Roboto"/>
          <w:color w:val="000000"/>
          <w:sz w:val="20"/>
          <w:szCs w:val="20"/>
        </w:rPr>
      </w:pPr>
      <w:proofErr w:type="spellStart"/>
      <w:r w:rsidRPr="003C018D">
        <w:rPr>
          <w:rFonts w:asciiTheme="minorHAnsi" w:eastAsiaTheme="minorHAnsi" w:hAnsiTheme="minorHAnsi" w:cstheme="minorBidi"/>
          <w:sz w:val="22"/>
          <w:szCs w:val="22"/>
          <w:lang w:eastAsia="en-US"/>
        </w:rPr>
        <w:t>Adultification</w:t>
      </w:r>
      <w:proofErr w:type="spellEnd"/>
      <w:r w:rsidRPr="003C018D">
        <w:rPr>
          <w:rFonts w:asciiTheme="minorHAnsi" w:eastAsiaTheme="minorHAnsi" w:hAnsiTheme="minorHAnsi" w:cstheme="minorBidi"/>
          <w:sz w:val="22"/>
          <w:szCs w:val="22"/>
          <w:lang w:eastAsia="en-US"/>
        </w:rPr>
        <w:t xml:space="preserve"> bias is a form of racial prejudice where children/young people from diverse or minoritized communities are treated as more mature than they are by a reasonable social standard of development. </w:t>
      </w:r>
      <w:hyperlink r:id="rId13" w:history="1">
        <w:r w:rsidRPr="00131AA0">
          <w:rPr>
            <w:rStyle w:val="Hyperlink"/>
            <w:rFonts w:ascii="Roboto" w:hAnsi="Roboto"/>
            <w:color w:val="0076A3"/>
            <w:sz w:val="20"/>
            <w:szCs w:val="20"/>
          </w:rPr>
          <w:t>'Where are the Black girls in our CSA services, studies and statistics?' | Community Care</w:t>
        </w:r>
      </w:hyperlink>
    </w:p>
    <w:p w14:paraId="39F25F33" w14:textId="3B899C94" w:rsidR="00131AA0" w:rsidRPr="00131AA0" w:rsidRDefault="00131AA0" w:rsidP="00131AA0">
      <w:pPr>
        <w:pStyle w:val="NormalWeb"/>
        <w:shd w:val="clear" w:color="auto" w:fill="DAEEF3" w:themeFill="accent5" w:themeFillTint="33"/>
        <w:spacing w:before="0" w:beforeAutospacing="0" w:after="120" w:afterAutospacing="0"/>
        <w:rPr>
          <w:sz w:val="20"/>
          <w:szCs w:val="20"/>
        </w:rPr>
      </w:pPr>
    </w:p>
    <w:p w14:paraId="53340994" w14:textId="07692D09" w:rsidR="003C018D" w:rsidRPr="00131AA0" w:rsidRDefault="00131AA0" w:rsidP="00FC26CD">
      <w:pPr>
        <w:shd w:val="clear" w:color="auto" w:fill="DBE5F1" w:themeFill="accent1" w:themeFillTint="33"/>
        <w:rPr>
          <w:b/>
          <w:bCs/>
          <w:sz w:val="28"/>
          <w:szCs w:val="28"/>
        </w:rPr>
      </w:pPr>
      <w:r w:rsidRPr="00131AA0">
        <w:rPr>
          <w:b/>
          <w:bCs/>
          <w:sz w:val="28"/>
          <w:szCs w:val="28"/>
        </w:rPr>
        <w:t>Knife Crime Prevention Order (KCPO)</w:t>
      </w:r>
    </w:p>
    <w:p w14:paraId="321F4340" w14:textId="135E7DF2" w:rsidR="00131AA0" w:rsidRDefault="00F17023" w:rsidP="00131AA0">
      <w:pPr>
        <w:pStyle w:val="NormalWeb"/>
        <w:shd w:val="clear" w:color="auto" w:fill="DAEEF3" w:themeFill="accent5" w:themeFillTint="33"/>
        <w:spacing w:before="0" w:beforeAutospacing="0" w:after="120" w:afterAutospacing="0"/>
        <w:rPr>
          <w:rFonts w:asciiTheme="minorHAnsi" w:hAnsiTheme="minorHAnsi" w:cstheme="minorHAnsi"/>
          <w:color w:val="000000"/>
          <w:sz w:val="22"/>
          <w:szCs w:val="22"/>
        </w:rPr>
      </w:pPr>
      <w:r>
        <w:rPr>
          <w:noProof/>
        </w:rPr>
        <w:drawing>
          <wp:anchor distT="0" distB="0" distL="114300" distR="114300" simplePos="0" relativeHeight="251787776" behindDoc="0" locked="0" layoutInCell="1" allowOverlap="1" wp14:anchorId="2BF00918" wp14:editId="1F1823C1">
            <wp:simplePos x="0" y="0"/>
            <wp:positionH relativeFrom="margin">
              <wp:posOffset>5312410</wp:posOffset>
            </wp:positionH>
            <wp:positionV relativeFrom="paragraph">
              <wp:posOffset>869315</wp:posOffset>
            </wp:positionV>
            <wp:extent cx="940435" cy="9620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40435" cy="962025"/>
                    </a:xfrm>
                    <a:prstGeom prst="rect">
                      <a:avLst/>
                    </a:prstGeom>
                  </pic:spPr>
                </pic:pic>
              </a:graphicData>
            </a:graphic>
            <wp14:sizeRelH relativeFrom="page">
              <wp14:pctWidth>0</wp14:pctWidth>
            </wp14:sizeRelH>
            <wp14:sizeRelV relativeFrom="page">
              <wp14:pctHeight>0</wp14:pctHeight>
            </wp14:sizeRelV>
          </wp:anchor>
        </w:drawing>
      </w:r>
      <w:r w:rsidR="00C555AB" w:rsidRPr="00C555AB">
        <w:rPr>
          <w:rFonts w:asciiTheme="minorHAnsi" w:eastAsiaTheme="minorHAnsi" w:hAnsiTheme="minorHAnsi" w:cstheme="minorBidi"/>
          <w:noProof/>
          <w:sz w:val="22"/>
          <w:szCs w:val="22"/>
        </w:rPr>
        <mc:AlternateContent>
          <mc:Choice Requires="wps">
            <w:drawing>
              <wp:anchor distT="45720" distB="45720" distL="114300" distR="114300" simplePos="0" relativeHeight="251793920" behindDoc="0" locked="0" layoutInCell="1" allowOverlap="1" wp14:anchorId="0B9F2AC0" wp14:editId="64EB9BC2">
                <wp:simplePos x="0" y="0"/>
                <wp:positionH relativeFrom="margin">
                  <wp:posOffset>-38100</wp:posOffset>
                </wp:positionH>
                <wp:positionV relativeFrom="paragraph">
                  <wp:posOffset>3050540</wp:posOffset>
                </wp:positionV>
                <wp:extent cx="5886450" cy="10668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066800"/>
                        </a:xfrm>
                        <a:prstGeom prst="rect">
                          <a:avLst/>
                        </a:prstGeom>
                        <a:solidFill>
                          <a:srgbClr val="FFFFFF"/>
                        </a:solidFill>
                        <a:ln w="9525">
                          <a:solidFill>
                            <a:schemeClr val="bg1"/>
                          </a:solidFill>
                          <a:miter lim="800000"/>
                          <a:headEnd/>
                          <a:tailEnd/>
                        </a:ln>
                      </wps:spPr>
                      <wps:txbx>
                        <w:txbxContent>
                          <w:p w14:paraId="25FA16CC" w14:textId="0E035356" w:rsidR="00C555AB" w:rsidRPr="00E3058E" w:rsidRDefault="000917DD" w:rsidP="00E3058E">
                            <w:pPr>
                              <w:shd w:val="clear" w:color="auto" w:fill="EAF1DD" w:themeFill="accent3" w:themeFillTint="33"/>
                              <w:rPr>
                                <w:sz w:val="28"/>
                                <w:szCs w:val="28"/>
                              </w:rPr>
                            </w:pPr>
                            <w:r>
                              <w:fldChar w:fldCharType="begin"/>
                            </w:r>
                            <w:r>
                              <w:instrText xml:space="preserve"> HYPERLINK "https://sussexchildprotection.procedures.org.uk/tkyplx/children-in-specific-circumstances/children-who-harm-other-children" </w:instrText>
                            </w:r>
                            <w:r>
                              <w:fldChar w:fldCharType="separate"/>
                            </w:r>
                            <w:r w:rsidR="00C555AB" w:rsidRPr="00E3058E">
                              <w:rPr>
                                <w:rStyle w:val="Hyperlink"/>
                                <w:sz w:val="28"/>
                                <w:szCs w:val="28"/>
                              </w:rPr>
                              <w:t xml:space="preserve">Children who Harm Other Children </w:t>
                            </w:r>
                            <w:r>
                              <w:rPr>
                                <w:rStyle w:val="Hyperlink"/>
                                <w:sz w:val="28"/>
                                <w:szCs w:val="28"/>
                              </w:rPr>
                              <w:fldChar w:fldCharType="end"/>
                            </w:r>
                          </w:p>
                          <w:p w14:paraId="6AB33432" w14:textId="2036F703" w:rsidR="00C555AB" w:rsidRPr="00C555AB" w:rsidRDefault="00C555AB" w:rsidP="00E3058E">
                            <w:pPr>
                              <w:shd w:val="clear" w:color="auto" w:fill="EAF1DD" w:themeFill="accent3" w:themeFillTint="33"/>
                              <w:rPr>
                                <w:rFonts w:cstheme="minorHAnsi"/>
                                <w:color w:val="000000"/>
                              </w:rPr>
                            </w:pPr>
                            <w:r w:rsidRPr="00C555AB">
                              <w:rPr>
                                <w:rFonts w:cstheme="minorHAnsi"/>
                                <w:color w:val="000000"/>
                              </w:rPr>
                              <w:t xml:space="preserve">This policy has been </w:t>
                            </w:r>
                            <w:r>
                              <w:rPr>
                                <w:rFonts w:cstheme="minorHAnsi"/>
                                <w:color w:val="000000"/>
                              </w:rPr>
                              <w:t xml:space="preserve">updated following revisions </w:t>
                            </w:r>
                            <w:r w:rsidRPr="00C555AB">
                              <w:rPr>
                                <w:rFonts w:cstheme="minorHAnsi"/>
                                <w:color w:val="000000"/>
                              </w:rPr>
                              <w:t>to Keeping Children Safe in Education. It has been expanded to include</w:t>
                            </w:r>
                            <w:r>
                              <w:rPr>
                                <w:rFonts w:cstheme="minorHAnsi"/>
                                <w:color w:val="000000"/>
                              </w:rPr>
                              <w:t xml:space="preserve"> </w:t>
                            </w:r>
                            <w:r w:rsidRPr="00C555AB">
                              <w:rPr>
                                <w:rFonts w:cstheme="minorHAnsi"/>
                                <w:color w:val="000000"/>
                              </w:rPr>
                              <w:t>peer on peer abuse</w:t>
                            </w:r>
                            <w:r w:rsidR="00E3058E">
                              <w:rPr>
                                <w:rFonts w:cstheme="minorHAnsi"/>
                                <w:color w:val="000000"/>
                              </w:rPr>
                              <w:t xml:space="preserve"> and </w:t>
                            </w:r>
                            <w:r w:rsidRPr="00C555AB">
                              <w:rPr>
                                <w:rFonts w:cstheme="minorHAnsi"/>
                                <w:color w:val="000000"/>
                              </w:rPr>
                              <w:t>sexual violence and harassment and teenage relationship abuse</w:t>
                            </w:r>
                            <w:r w:rsidR="00E3058E">
                              <w:rPr>
                                <w:rFonts w:cstheme="minorHAnsi"/>
                                <w:color w:val="000000"/>
                              </w:rPr>
                              <w:t xml:space="preserve">. </w:t>
                            </w:r>
                          </w:p>
                          <w:p w14:paraId="30A0D326" w14:textId="77777777" w:rsidR="00C555AB" w:rsidRDefault="00C555AB" w:rsidP="00E3058E">
                            <w:pPr>
                              <w:shd w:val="clear" w:color="auto" w:fill="EAF1DD" w:themeFill="accent3"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F2AC0" id="_x0000_t202" coordsize="21600,21600" o:spt="202" path="m,l,21600r21600,l21600,xe">
                <v:stroke joinstyle="miter"/>
                <v:path gradientshapeok="t" o:connecttype="rect"/>
              </v:shapetype>
              <v:shape id="Text Box 2" o:spid="_x0000_s1026" type="#_x0000_t202" style="position:absolute;margin-left:-3pt;margin-top:240.2pt;width:463.5pt;height:84pt;z-index:25179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" strokecolor="white [3212]">
                <v:textbox>
                  <w:txbxContent>
                    <w:p w14:paraId="25FA16CC" w14:textId="0E035356" w:rsidR="00C555AB" w:rsidRPr="00E3058E" w:rsidRDefault="000917DD" w:rsidP="00E3058E">
                      <w:pPr>
                        <w:shd w:val="clear" w:color="auto" w:fill="EAF1DD" w:themeFill="accent3" w:themeFillTint="33"/>
                        <w:rPr>
                          <w:sz w:val="28"/>
                          <w:szCs w:val="28"/>
                        </w:rPr>
                      </w:pPr>
                      <w:r>
                        <w:fldChar w:fldCharType="begin"/>
                      </w:r>
                      <w:r>
                        <w:instrText xml:space="preserve"> HYPERLINK "https://sussexchildprotection.procedures.org.uk/tkyplx/children-in-specific-circumstances/children-who-harm-other-children" </w:instrText>
                      </w:r>
                      <w:r>
                        <w:fldChar w:fldCharType="separate"/>
                      </w:r>
                      <w:r w:rsidR="00C555AB" w:rsidRPr="00E3058E">
                        <w:rPr>
                          <w:rStyle w:val="Hyperlink"/>
                          <w:sz w:val="28"/>
                          <w:szCs w:val="28"/>
                        </w:rPr>
                        <w:t xml:space="preserve">Children who Harm Other Children </w:t>
                      </w:r>
                      <w:r>
                        <w:rPr>
                          <w:rStyle w:val="Hyperlink"/>
                          <w:sz w:val="28"/>
                          <w:szCs w:val="28"/>
                        </w:rPr>
                        <w:fldChar w:fldCharType="end"/>
                      </w:r>
                    </w:p>
                    <w:p w14:paraId="6AB33432" w14:textId="2036F703" w:rsidR="00C555AB" w:rsidRPr="00C555AB" w:rsidRDefault="00C555AB" w:rsidP="00E3058E">
                      <w:pPr>
                        <w:shd w:val="clear" w:color="auto" w:fill="EAF1DD" w:themeFill="accent3" w:themeFillTint="33"/>
                        <w:rPr>
                          <w:rFonts w:cstheme="minorHAnsi"/>
                          <w:color w:val="000000"/>
                        </w:rPr>
                      </w:pPr>
                      <w:r w:rsidRPr="00C555AB">
                        <w:rPr>
                          <w:rFonts w:cstheme="minorHAnsi"/>
                          <w:color w:val="000000"/>
                        </w:rPr>
                        <w:t xml:space="preserve">This policy has been </w:t>
                      </w:r>
                      <w:r>
                        <w:rPr>
                          <w:rFonts w:cstheme="minorHAnsi"/>
                          <w:color w:val="000000"/>
                        </w:rPr>
                        <w:t xml:space="preserve">updated following revisions </w:t>
                      </w:r>
                      <w:r w:rsidRPr="00C555AB">
                        <w:rPr>
                          <w:rFonts w:cstheme="minorHAnsi"/>
                          <w:color w:val="000000"/>
                        </w:rPr>
                        <w:t>to Keeping Children Safe in Education. It has been expanded to include</w:t>
                      </w:r>
                      <w:r>
                        <w:rPr>
                          <w:rFonts w:cstheme="minorHAnsi"/>
                          <w:color w:val="000000"/>
                        </w:rPr>
                        <w:t xml:space="preserve"> </w:t>
                      </w:r>
                      <w:r w:rsidRPr="00C555AB">
                        <w:rPr>
                          <w:rFonts w:cstheme="minorHAnsi"/>
                          <w:color w:val="000000"/>
                        </w:rPr>
                        <w:t>peer on peer abuse</w:t>
                      </w:r>
                      <w:r w:rsidR="00E3058E">
                        <w:rPr>
                          <w:rFonts w:cstheme="minorHAnsi"/>
                          <w:color w:val="000000"/>
                        </w:rPr>
                        <w:t xml:space="preserve"> and </w:t>
                      </w:r>
                      <w:r w:rsidRPr="00C555AB">
                        <w:rPr>
                          <w:rFonts w:cstheme="minorHAnsi"/>
                          <w:color w:val="000000"/>
                        </w:rPr>
                        <w:t>sexual violence and harassment and teenage relationship abuse</w:t>
                      </w:r>
                      <w:r w:rsidR="00E3058E">
                        <w:rPr>
                          <w:rFonts w:cstheme="minorHAnsi"/>
                          <w:color w:val="000000"/>
                        </w:rPr>
                        <w:t xml:space="preserve">. </w:t>
                      </w:r>
                    </w:p>
                    <w:p w14:paraId="30A0D326" w14:textId="77777777" w:rsidR="00C555AB" w:rsidRDefault="00C555AB" w:rsidP="00E3058E">
                      <w:pPr>
                        <w:shd w:val="clear" w:color="auto" w:fill="EAF1DD" w:themeFill="accent3" w:themeFillTint="33"/>
                      </w:pPr>
                    </w:p>
                  </w:txbxContent>
                </v:textbox>
                <w10:wrap type="square" anchorx="margin"/>
              </v:shape>
            </w:pict>
          </mc:Fallback>
        </mc:AlternateContent>
      </w:r>
      <w:r w:rsidR="006F0C90">
        <w:rPr>
          <w:noProof/>
        </w:rPr>
        <mc:AlternateContent>
          <mc:Choice Requires="wps">
            <w:drawing>
              <wp:anchor distT="45720" distB="45720" distL="114300" distR="114300" simplePos="0" relativeHeight="251786752" behindDoc="0" locked="0" layoutInCell="1" allowOverlap="1" wp14:anchorId="68898823" wp14:editId="71AEEFB7">
                <wp:simplePos x="0" y="0"/>
                <wp:positionH relativeFrom="margin">
                  <wp:align>left</wp:align>
                </wp:positionH>
                <wp:positionV relativeFrom="paragraph">
                  <wp:posOffset>954405</wp:posOffset>
                </wp:positionV>
                <wp:extent cx="5829300" cy="1924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24050"/>
                        </a:xfrm>
                        <a:prstGeom prst="rect">
                          <a:avLst/>
                        </a:prstGeom>
                        <a:solidFill>
                          <a:schemeClr val="accent2">
                            <a:lumMod val="20000"/>
                            <a:lumOff val="80000"/>
                          </a:schemeClr>
                        </a:solidFill>
                        <a:ln w="9525">
                          <a:solidFill>
                            <a:schemeClr val="bg1"/>
                          </a:solidFill>
                          <a:miter lim="800000"/>
                          <a:headEnd/>
                          <a:tailEnd/>
                        </a:ln>
                      </wps:spPr>
                      <wps:txbx>
                        <w:txbxContent>
                          <w:p w14:paraId="5207A3F1" w14:textId="4A1E8DF1" w:rsidR="00131AA0" w:rsidRPr="007B1C37" w:rsidRDefault="00CF3F75" w:rsidP="007B1C37">
                            <w:pPr>
                              <w:shd w:val="clear" w:color="auto" w:fill="F2DBDB" w:themeFill="accent2" w:themeFillTint="33"/>
                              <w:spacing w:before="100" w:beforeAutospacing="1" w:after="100" w:afterAutospacing="1" w:line="240" w:lineRule="auto"/>
                              <w:rPr>
                                <w:b/>
                                <w:bCs/>
                                <w:i/>
                                <w:iCs/>
                                <w:sz w:val="28"/>
                                <w:szCs w:val="28"/>
                              </w:rPr>
                            </w:pPr>
                            <w:hyperlink r:id="rId15" w:history="1">
                              <w:r w:rsidR="007B1C37" w:rsidRPr="007B1C37">
                                <w:rPr>
                                  <w:rStyle w:val="Hyperlink"/>
                                  <w:rFonts w:cstheme="minorHAnsi"/>
                                  <w:b/>
                                  <w:bCs/>
                                  <w:color w:val="0076A3"/>
                                  <w:sz w:val="28"/>
                                  <w:szCs w:val="28"/>
                                </w:rPr>
                                <w:t>CSA Pathway</w:t>
                              </w:r>
                            </w:hyperlink>
                            <w:r w:rsidR="007B1C37" w:rsidRPr="007B1C37">
                              <w:rPr>
                                <w:rFonts w:cstheme="minorHAnsi"/>
                                <w:b/>
                                <w:bCs/>
                                <w:color w:val="000000"/>
                                <w:sz w:val="28"/>
                                <w:szCs w:val="28"/>
                              </w:rPr>
                              <w:t xml:space="preserve"> </w:t>
                            </w:r>
                            <w:r w:rsidR="00131AA0" w:rsidRPr="007B1C37">
                              <w:rPr>
                                <w:rFonts w:cstheme="minorHAnsi"/>
                                <w:b/>
                                <w:bCs/>
                                <w:sz w:val="28"/>
                                <w:szCs w:val="28"/>
                              </w:rPr>
                              <w:t>–</w:t>
                            </w:r>
                            <w:r w:rsidR="00131AA0" w:rsidRPr="007B1C37">
                              <w:rPr>
                                <w:b/>
                                <w:bCs/>
                                <w:sz w:val="36"/>
                                <w:szCs w:val="36"/>
                              </w:rPr>
                              <w:t xml:space="preserve"> </w:t>
                            </w:r>
                            <w:r w:rsidR="00131AA0" w:rsidRPr="007B1C37">
                              <w:rPr>
                                <w:b/>
                                <w:bCs/>
                                <w:i/>
                                <w:iCs/>
                                <w:sz w:val="28"/>
                                <w:szCs w:val="28"/>
                              </w:rPr>
                              <w:t xml:space="preserve">clarification of age </w:t>
                            </w:r>
                          </w:p>
                          <w:p w14:paraId="3D8121FD" w14:textId="77777777" w:rsidR="006F0C90" w:rsidRDefault="007B1C37" w:rsidP="006F0C90">
                            <w:pPr>
                              <w:spacing w:after="0"/>
                              <w:rPr>
                                <w:rFonts w:ascii="Calibri" w:hAnsi="Calibri" w:cs="Calibri"/>
                                <w:lang w:eastAsia="en-GB"/>
                              </w:rPr>
                            </w:pPr>
                            <w:r w:rsidRPr="00484E6D">
                              <w:rPr>
                                <w:rFonts w:ascii="Calibri" w:hAnsi="Calibri" w:cs="Calibri"/>
                                <w:lang w:eastAsia="en-GB"/>
                              </w:rPr>
                              <w:t xml:space="preserve">This pathway: </w:t>
                            </w:r>
                          </w:p>
                          <w:p w14:paraId="7B433D15" w14:textId="0BAB163F" w:rsidR="007B1C37" w:rsidRDefault="007B1C37" w:rsidP="006F0C90">
                            <w:pPr>
                              <w:pStyle w:val="ListParagraph"/>
                              <w:numPr>
                                <w:ilvl w:val="0"/>
                                <w:numId w:val="33"/>
                              </w:numPr>
                              <w:spacing w:after="0"/>
                            </w:pPr>
                            <w:r>
                              <w:t>applies to all cases where there is concern about sexual harm (links to definition).</w:t>
                            </w:r>
                          </w:p>
                          <w:p w14:paraId="5D8B562C" w14:textId="77777777" w:rsidR="007B1C37" w:rsidRPr="007B1C37" w:rsidRDefault="007B1C37" w:rsidP="006F0C90">
                            <w:pPr>
                              <w:pStyle w:val="xmsonormal"/>
                              <w:numPr>
                                <w:ilvl w:val="0"/>
                                <w:numId w:val="33"/>
                              </w:numPr>
                              <w:rPr>
                                <w:b/>
                                <w:bCs/>
                              </w:rPr>
                            </w:pPr>
                            <w:r w:rsidRPr="007B1C37">
                              <w:rPr>
                                <w:b/>
                                <w:bCs/>
                              </w:rPr>
                              <w:t>should also be used for all children under 13 if a sexually transmitted infection is identified as children under 13 cannot consent to sexual activity by law.</w:t>
                            </w:r>
                          </w:p>
                          <w:p w14:paraId="4575C674" w14:textId="77777777" w:rsidR="007B1C37" w:rsidRPr="007B1C37" w:rsidRDefault="007B1C37" w:rsidP="006F0C90">
                            <w:pPr>
                              <w:pStyle w:val="xmsonormal"/>
                              <w:numPr>
                                <w:ilvl w:val="0"/>
                                <w:numId w:val="33"/>
                              </w:numPr>
                              <w:rPr>
                                <w:b/>
                                <w:bCs/>
                              </w:rPr>
                            </w:pPr>
                            <w:r w:rsidRPr="007B1C37">
                              <w:rPr>
                                <w:b/>
                                <w:bCs/>
                              </w:rPr>
                              <w:t xml:space="preserve">should also be considered in children aged between 13 - 16 </w:t>
                            </w:r>
                            <w:proofErr w:type="spellStart"/>
                            <w:r w:rsidRPr="007B1C37">
                              <w:rPr>
                                <w:b/>
                                <w:bCs/>
                              </w:rPr>
                              <w:t>yrs</w:t>
                            </w:r>
                            <w:proofErr w:type="spellEnd"/>
                            <w:r w:rsidRPr="007B1C37">
                              <w:rPr>
                                <w:b/>
                                <w:bCs/>
                              </w:rPr>
                              <w:t xml:space="preserve"> taking into account their capacity to consent, history of CSA, exploitation or other indicating factors.</w:t>
                            </w:r>
                          </w:p>
                          <w:p w14:paraId="5B3D1ADB" w14:textId="59C08D6F" w:rsidR="00131AA0" w:rsidRDefault="007B1C37" w:rsidP="00BC63C1">
                            <w:pPr>
                              <w:pStyle w:val="xmsonormal"/>
                              <w:numPr>
                                <w:ilvl w:val="0"/>
                                <w:numId w:val="33"/>
                              </w:numPr>
                            </w:pPr>
                            <w:r>
                              <w:t xml:space="preserve">applies to </w:t>
                            </w:r>
                            <w:r w:rsidRPr="00484E6D">
                              <w:t xml:space="preserve">all </w:t>
                            </w:r>
                            <w:r>
                              <w:t>children whether they are in care, already on a child protection plan or not know to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98823" id="_x0000_s1027" type="#_x0000_t202" style="position:absolute;margin-left:0;margin-top:75.15pt;width:459pt;height:151.5pt;z-index:251786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" fillcolor="#f2dbdb [661]" strokecolor="white [3212]">
                <v:textbox>
                  <w:txbxContent>
                    <w:p w14:paraId="5207A3F1" w14:textId="4A1E8DF1" w:rsidR="00131AA0" w:rsidRPr="007B1C37" w:rsidRDefault="00CF3F75" w:rsidP="007B1C37">
                      <w:pPr>
                        <w:shd w:val="clear" w:color="auto" w:fill="F2DBDB" w:themeFill="accent2" w:themeFillTint="33"/>
                        <w:spacing w:before="100" w:beforeAutospacing="1" w:after="100" w:afterAutospacing="1" w:line="240" w:lineRule="auto"/>
                        <w:rPr>
                          <w:b/>
                          <w:bCs/>
                          <w:i/>
                          <w:iCs/>
                          <w:sz w:val="28"/>
                          <w:szCs w:val="28"/>
                        </w:rPr>
                      </w:pPr>
                      <w:hyperlink r:id="rId16" w:history="1">
                        <w:r w:rsidR="007B1C37" w:rsidRPr="007B1C37">
                          <w:rPr>
                            <w:rStyle w:val="Hyperlink"/>
                            <w:rFonts w:cstheme="minorHAnsi"/>
                            <w:b/>
                            <w:bCs/>
                            <w:color w:val="0076A3"/>
                            <w:sz w:val="28"/>
                            <w:szCs w:val="28"/>
                          </w:rPr>
                          <w:t>CSA Pathway</w:t>
                        </w:r>
                      </w:hyperlink>
                      <w:r w:rsidR="007B1C37" w:rsidRPr="007B1C37">
                        <w:rPr>
                          <w:rFonts w:cstheme="minorHAnsi"/>
                          <w:b/>
                          <w:bCs/>
                          <w:color w:val="000000"/>
                          <w:sz w:val="28"/>
                          <w:szCs w:val="28"/>
                        </w:rPr>
                        <w:t xml:space="preserve"> </w:t>
                      </w:r>
                      <w:r w:rsidR="00131AA0" w:rsidRPr="007B1C37">
                        <w:rPr>
                          <w:rFonts w:cstheme="minorHAnsi"/>
                          <w:b/>
                          <w:bCs/>
                          <w:sz w:val="28"/>
                          <w:szCs w:val="28"/>
                        </w:rPr>
                        <w:t>–</w:t>
                      </w:r>
                      <w:r w:rsidR="00131AA0" w:rsidRPr="007B1C37">
                        <w:rPr>
                          <w:b/>
                          <w:bCs/>
                          <w:sz w:val="36"/>
                          <w:szCs w:val="36"/>
                        </w:rPr>
                        <w:t xml:space="preserve"> </w:t>
                      </w:r>
                      <w:r w:rsidR="00131AA0" w:rsidRPr="007B1C37">
                        <w:rPr>
                          <w:b/>
                          <w:bCs/>
                          <w:i/>
                          <w:iCs/>
                          <w:sz w:val="28"/>
                          <w:szCs w:val="28"/>
                        </w:rPr>
                        <w:t xml:space="preserve">clarification of age </w:t>
                      </w:r>
                    </w:p>
                    <w:p w14:paraId="3D8121FD" w14:textId="77777777" w:rsidR="006F0C90" w:rsidRDefault="007B1C37" w:rsidP="006F0C90">
                      <w:pPr>
                        <w:spacing w:after="0"/>
                        <w:rPr>
                          <w:rFonts w:ascii="Calibri" w:hAnsi="Calibri" w:cs="Calibri"/>
                          <w:lang w:eastAsia="en-GB"/>
                        </w:rPr>
                      </w:pPr>
                      <w:r w:rsidRPr="00484E6D">
                        <w:rPr>
                          <w:rFonts w:ascii="Calibri" w:hAnsi="Calibri" w:cs="Calibri"/>
                          <w:lang w:eastAsia="en-GB"/>
                        </w:rPr>
                        <w:t xml:space="preserve">This pathway: </w:t>
                      </w:r>
                    </w:p>
                    <w:p w14:paraId="7B433D15" w14:textId="0BAB163F" w:rsidR="007B1C37" w:rsidRDefault="007B1C37" w:rsidP="006F0C90">
                      <w:pPr>
                        <w:pStyle w:val="ListParagraph"/>
                        <w:numPr>
                          <w:ilvl w:val="0"/>
                          <w:numId w:val="33"/>
                        </w:numPr>
                        <w:spacing w:after="0"/>
                      </w:pPr>
                      <w:r>
                        <w:t>applies to all cases where there is concern about sexual harm (links to definition).</w:t>
                      </w:r>
                    </w:p>
                    <w:p w14:paraId="5D8B562C" w14:textId="77777777" w:rsidR="007B1C37" w:rsidRPr="007B1C37" w:rsidRDefault="007B1C37" w:rsidP="006F0C90">
                      <w:pPr>
                        <w:pStyle w:val="xmsonormal"/>
                        <w:numPr>
                          <w:ilvl w:val="0"/>
                          <w:numId w:val="33"/>
                        </w:numPr>
                        <w:rPr>
                          <w:b/>
                          <w:bCs/>
                        </w:rPr>
                      </w:pPr>
                      <w:r w:rsidRPr="007B1C37">
                        <w:rPr>
                          <w:b/>
                          <w:bCs/>
                        </w:rPr>
                        <w:t>should also be used for all children under 13 if a sexually transmitted infection is identified as children under 13 cannot consent to sexual activity by law.</w:t>
                      </w:r>
                    </w:p>
                    <w:p w14:paraId="4575C674" w14:textId="77777777" w:rsidR="007B1C37" w:rsidRPr="007B1C37" w:rsidRDefault="007B1C37" w:rsidP="006F0C90">
                      <w:pPr>
                        <w:pStyle w:val="xmsonormal"/>
                        <w:numPr>
                          <w:ilvl w:val="0"/>
                          <w:numId w:val="33"/>
                        </w:numPr>
                        <w:rPr>
                          <w:b/>
                          <w:bCs/>
                        </w:rPr>
                      </w:pPr>
                      <w:r w:rsidRPr="007B1C37">
                        <w:rPr>
                          <w:b/>
                          <w:bCs/>
                        </w:rPr>
                        <w:t xml:space="preserve">should also be considered in children aged between 13 - 16 </w:t>
                      </w:r>
                      <w:proofErr w:type="spellStart"/>
                      <w:r w:rsidRPr="007B1C37">
                        <w:rPr>
                          <w:b/>
                          <w:bCs/>
                        </w:rPr>
                        <w:t>yrs</w:t>
                      </w:r>
                      <w:proofErr w:type="spellEnd"/>
                      <w:r w:rsidRPr="007B1C37">
                        <w:rPr>
                          <w:b/>
                          <w:bCs/>
                        </w:rPr>
                        <w:t xml:space="preserve"> taking into account their capacity to consent, history of CSA, exploitation or other indicating factors.</w:t>
                      </w:r>
                    </w:p>
                    <w:p w14:paraId="5B3D1ADB" w14:textId="59C08D6F" w:rsidR="00131AA0" w:rsidRDefault="007B1C37" w:rsidP="00BC63C1">
                      <w:pPr>
                        <w:pStyle w:val="xmsonormal"/>
                        <w:numPr>
                          <w:ilvl w:val="0"/>
                          <w:numId w:val="33"/>
                        </w:numPr>
                      </w:pPr>
                      <w:r>
                        <w:t xml:space="preserve">applies to </w:t>
                      </w:r>
                      <w:r w:rsidRPr="00484E6D">
                        <w:t xml:space="preserve">all </w:t>
                      </w:r>
                      <w:r>
                        <w:t>children whether they are in care, already on a child protection plan or not know to services.</w:t>
                      </w:r>
                    </w:p>
                  </w:txbxContent>
                </v:textbox>
                <w10:wrap type="square" anchorx="margin"/>
              </v:shape>
            </w:pict>
          </mc:Fallback>
        </mc:AlternateContent>
      </w:r>
      <w:r w:rsidR="00131AA0" w:rsidRPr="00131AA0">
        <w:rPr>
          <w:rFonts w:asciiTheme="minorHAnsi" w:eastAsiaTheme="minorHAnsi" w:hAnsiTheme="minorHAnsi" w:cstheme="minorBidi"/>
          <w:sz w:val="22"/>
          <w:szCs w:val="22"/>
          <w:lang w:eastAsia="en-US"/>
        </w:rPr>
        <w:t>Anyone aged 12 and over who has on at least two occasions in the past two years had a bladed article with them without good reason or lawful authority in England and Wales, on a school premises or on further education premises may be identified by the police for a Knife Crime Prevention Order (KCPO). The KCPO was introduced as part of the Offensive Weapons Act 2019 in a bid to tackle serious violent cri</w:t>
      </w:r>
      <w:r w:rsidR="006F0C90" w:rsidRPr="006F0C90">
        <w:rPr>
          <w:noProof/>
        </w:rPr>
        <w:t xml:space="preserve"> </w:t>
      </w:r>
      <w:r w:rsidR="00131AA0" w:rsidRPr="00131AA0">
        <w:rPr>
          <w:rFonts w:asciiTheme="minorHAnsi" w:eastAsiaTheme="minorHAnsi" w:hAnsiTheme="minorHAnsi" w:cstheme="minorBidi"/>
          <w:sz w:val="22"/>
          <w:szCs w:val="22"/>
          <w:lang w:eastAsia="en-US"/>
        </w:rPr>
        <w:t>me.</w:t>
      </w:r>
      <w:r w:rsidR="00131AA0">
        <w:rPr>
          <w:rFonts w:asciiTheme="minorHAnsi" w:eastAsiaTheme="minorHAnsi" w:hAnsiTheme="minorHAnsi" w:cstheme="minorBidi"/>
          <w:sz w:val="22"/>
          <w:szCs w:val="22"/>
          <w:lang w:eastAsia="en-US"/>
        </w:rPr>
        <w:t xml:space="preserve"> </w:t>
      </w:r>
      <w:r w:rsidR="00131AA0" w:rsidRPr="00131AA0">
        <w:rPr>
          <w:rFonts w:asciiTheme="minorHAnsi" w:hAnsiTheme="minorHAnsi" w:cstheme="minorHAnsi"/>
          <w:color w:val="000000"/>
          <w:sz w:val="22"/>
          <w:szCs w:val="22"/>
        </w:rPr>
        <w:t> </w:t>
      </w:r>
      <w:hyperlink r:id="rId17" w:history="1">
        <w:r w:rsidR="00131AA0" w:rsidRPr="00131AA0">
          <w:rPr>
            <w:rStyle w:val="Hyperlink"/>
            <w:rFonts w:asciiTheme="minorHAnsi" w:hAnsiTheme="minorHAnsi" w:cstheme="minorHAnsi"/>
            <w:color w:val="0076A3"/>
            <w:sz w:val="22"/>
            <w:szCs w:val="22"/>
          </w:rPr>
          <w:t>K</w:t>
        </w:r>
        <w:r w:rsidR="006F0C90">
          <w:rPr>
            <w:rStyle w:val="Hyperlink"/>
            <w:rFonts w:asciiTheme="minorHAnsi" w:hAnsiTheme="minorHAnsi" w:cstheme="minorHAnsi"/>
            <w:color w:val="0076A3"/>
            <w:sz w:val="22"/>
            <w:szCs w:val="22"/>
          </w:rPr>
          <w:t xml:space="preserve"> </w:t>
        </w:r>
        <w:r w:rsidR="00131AA0" w:rsidRPr="00131AA0">
          <w:rPr>
            <w:rStyle w:val="Hyperlink"/>
            <w:rFonts w:asciiTheme="minorHAnsi" w:hAnsiTheme="minorHAnsi" w:cstheme="minorHAnsi"/>
            <w:color w:val="0076A3"/>
            <w:sz w:val="22"/>
            <w:szCs w:val="22"/>
          </w:rPr>
          <w:t xml:space="preserve">CPO practitioners guidance </w:t>
        </w:r>
        <w:r w:rsidR="00131AA0" w:rsidRPr="00131AA0">
          <w:rPr>
            <w:rStyle w:val="Hyperlink"/>
            <w:rFonts w:asciiTheme="minorHAnsi" w:hAnsiTheme="minorHAnsi" w:cstheme="minorHAnsi"/>
            <w:color w:val="0076A3"/>
            <w:sz w:val="22"/>
            <w:szCs w:val="22"/>
          </w:rPr>
          <w:lastRenderedPageBreak/>
          <w:t>(publishing.service.gov.uk)</w:t>
        </w:r>
      </w:hyperlink>
    </w:p>
    <w:p w14:paraId="01A43FA6" w14:textId="46D409FC" w:rsidR="00C555AB" w:rsidRDefault="00E3058E" w:rsidP="00131AA0">
      <w:pPr>
        <w:pStyle w:val="NormalWeb"/>
        <w:shd w:val="clear" w:color="auto" w:fill="DAEEF3" w:themeFill="accent5" w:themeFillTint="33"/>
        <w:spacing w:before="0" w:beforeAutospacing="0" w:after="120" w:afterAutospacing="0"/>
        <w:rPr>
          <w:rFonts w:asciiTheme="minorHAnsi" w:hAnsiTheme="minorHAnsi" w:cstheme="minorHAnsi"/>
          <w:color w:val="000000"/>
          <w:sz w:val="22"/>
          <w:szCs w:val="22"/>
        </w:rPr>
      </w:pPr>
      <w:r>
        <w:rPr>
          <w:b/>
          <w:bCs/>
        </w:rPr>
        <w:t xml:space="preserve">If </w:t>
      </w:r>
      <w:r w:rsidRPr="006D781E">
        <w:rPr>
          <w:b/>
          <w:bCs/>
        </w:rPr>
        <w:t xml:space="preserve">you would like to discuss any aspect of this briefing, please contact </w:t>
      </w:r>
      <w:hyperlink r:id="rId18" w:history="1">
        <w:r w:rsidRPr="00C6728F">
          <w:rPr>
            <w:rStyle w:val="Hyperlink"/>
            <w:b/>
            <w:bCs/>
          </w:rPr>
          <w:t>mia.bryden@brighton-hove.gov.uk</w:t>
        </w:r>
      </w:hyperlink>
      <w:r>
        <w:rPr>
          <w:b/>
          <w:bCs/>
        </w:rPr>
        <w:t xml:space="preserve"> </w:t>
      </w:r>
      <w:r w:rsidRPr="006D781E">
        <w:rPr>
          <w:b/>
          <w:bCs/>
        </w:rPr>
        <w:t xml:space="preserve"> </w:t>
      </w:r>
      <w:r w:rsidR="00C555AB" w:rsidRPr="00C555AB">
        <w:rPr>
          <w:rFonts w:asciiTheme="minorHAnsi" w:hAnsiTheme="minorHAnsi" w:cstheme="minorHAnsi"/>
          <w:noProof/>
          <w:color w:val="000000"/>
          <w:sz w:val="22"/>
          <w:szCs w:val="22"/>
        </w:rPr>
        <mc:AlternateContent>
          <mc:Choice Requires="wps">
            <w:drawing>
              <wp:anchor distT="45720" distB="45720" distL="114300" distR="114300" simplePos="0" relativeHeight="251791872" behindDoc="0" locked="0" layoutInCell="1" allowOverlap="1" wp14:anchorId="27F9B693" wp14:editId="58CCC33A">
                <wp:simplePos x="0" y="0"/>
                <wp:positionH relativeFrom="margin">
                  <wp:posOffset>102235</wp:posOffset>
                </wp:positionH>
                <wp:positionV relativeFrom="paragraph">
                  <wp:posOffset>3286125</wp:posOffset>
                </wp:positionV>
                <wp:extent cx="5705475" cy="11811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81100"/>
                        </a:xfrm>
                        <a:prstGeom prst="rect">
                          <a:avLst/>
                        </a:prstGeom>
                        <a:solidFill>
                          <a:schemeClr val="accent5">
                            <a:lumMod val="20000"/>
                            <a:lumOff val="80000"/>
                          </a:schemeClr>
                        </a:solidFill>
                        <a:ln w="9525">
                          <a:solidFill>
                            <a:schemeClr val="bg1"/>
                          </a:solidFill>
                          <a:miter lim="800000"/>
                          <a:headEnd/>
                          <a:tailEnd/>
                        </a:ln>
                      </wps:spPr>
                      <wps:txbx>
                        <w:txbxContent>
                          <w:p w14:paraId="78FAB340" w14:textId="77777777" w:rsidR="00C555AB" w:rsidRPr="00E3058E" w:rsidRDefault="00C555AB" w:rsidP="00E3058E">
                            <w:pPr>
                              <w:shd w:val="clear" w:color="auto" w:fill="DAEEF3" w:themeFill="accent5" w:themeFillTint="33"/>
                              <w:spacing w:after="100" w:afterAutospacing="1" w:line="240" w:lineRule="auto"/>
                              <w:outlineLvl w:val="1"/>
                              <w:rPr>
                                <w:b/>
                                <w:bCs/>
                                <w:sz w:val="28"/>
                                <w:szCs w:val="28"/>
                              </w:rPr>
                            </w:pPr>
                            <w:r w:rsidRPr="00E3058E">
                              <w:rPr>
                                <w:b/>
                                <w:bCs/>
                                <w:sz w:val="28"/>
                                <w:szCs w:val="28"/>
                              </w:rPr>
                              <w:t>Interim/Review meeting following Post Mortem</w:t>
                            </w:r>
                          </w:p>
                          <w:p w14:paraId="44BB85E0" w14:textId="1B347525" w:rsidR="00C555AB" w:rsidRPr="008E55C1" w:rsidRDefault="00C555AB" w:rsidP="00C555AB">
                            <w:pPr>
                              <w:spacing w:after="120" w:line="240" w:lineRule="auto"/>
                              <w:rPr>
                                <w:rFonts w:cstheme="minorHAnsi"/>
                                <w:color w:val="000000"/>
                              </w:rPr>
                            </w:pPr>
                            <w:r w:rsidRPr="008E55C1">
                              <w:rPr>
                                <w:rFonts w:cstheme="minorHAnsi"/>
                                <w:color w:val="000000"/>
                              </w:rPr>
                              <w:t xml:space="preserve">Once the initial results of </w:t>
                            </w:r>
                            <w:r w:rsidR="00E3058E">
                              <w:rPr>
                                <w:rFonts w:cstheme="minorHAnsi"/>
                                <w:color w:val="000000"/>
                              </w:rPr>
                              <w:t>a</w:t>
                            </w:r>
                            <w:r w:rsidRPr="008E55C1">
                              <w:rPr>
                                <w:rFonts w:cstheme="minorHAnsi"/>
                                <w:color w:val="000000"/>
                              </w:rPr>
                              <w:t xml:space="preserve"> post mortem (or provisional results) are known</w:t>
                            </w:r>
                            <w:r w:rsidR="00E3058E">
                              <w:rPr>
                                <w:rFonts w:cstheme="minorHAnsi"/>
                                <w:color w:val="000000"/>
                              </w:rPr>
                              <w:t xml:space="preserve">, </w:t>
                            </w:r>
                            <w:r w:rsidRPr="008E55C1">
                              <w:rPr>
                                <w:rFonts w:cstheme="minorHAnsi"/>
                                <w:color w:val="000000"/>
                              </w:rPr>
                              <w:t xml:space="preserve">an </w:t>
                            </w:r>
                            <w:r w:rsidRPr="00E3058E">
                              <w:rPr>
                                <w:rFonts w:cstheme="minorHAnsi"/>
                                <w:b/>
                                <w:bCs/>
                                <w:color w:val="000000"/>
                              </w:rPr>
                              <w:t xml:space="preserve">interim/review discussion </w:t>
                            </w:r>
                            <w:r w:rsidRPr="008E55C1">
                              <w:rPr>
                                <w:rFonts w:cstheme="minorHAnsi"/>
                                <w:color w:val="000000"/>
                              </w:rPr>
                              <w:t xml:space="preserve">should take place between the lead health professional (paediatrician) , child death specialist nurse, police investigator and coroner’s officer to consider this, the outcome of </w:t>
                            </w:r>
                            <w:r w:rsidR="00E3058E">
                              <w:rPr>
                                <w:rFonts w:cstheme="minorHAnsi"/>
                                <w:color w:val="000000"/>
                              </w:rPr>
                              <w:t>a</w:t>
                            </w:r>
                            <w:r w:rsidRPr="008E55C1">
                              <w:rPr>
                                <w:rFonts w:cstheme="minorHAnsi"/>
                                <w:color w:val="000000"/>
                              </w:rPr>
                              <w:t xml:space="preserve"> joint visit ( if undertaken) and the results of any other investigations. </w:t>
                            </w:r>
                          </w:p>
                          <w:p w14:paraId="690BC44E" w14:textId="77777777" w:rsidR="00C555AB" w:rsidRPr="00C555AB" w:rsidRDefault="00C555AB" w:rsidP="00C555AB">
                            <w:pPr>
                              <w:shd w:val="clear" w:color="auto" w:fill="FFFFFF"/>
                              <w:spacing w:after="100" w:afterAutospacing="1" w:line="240" w:lineRule="auto"/>
                              <w:outlineLvl w:val="1"/>
                              <w:rPr>
                                <w:b/>
                                <w:bCs/>
                                <w:sz w:val="28"/>
                                <w:szCs w:val="28"/>
                              </w:rPr>
                            </w:pPr>
                          </w:p>
                          <w:p w14:paraId="0376CDB0" w14:textId="77777777" w:rsidR="00C555AB" w:rsidRDefault="00C555AB" w:rsidP="00C555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9B693" id="_x0000_s1028" type="#_x0000_t202" style="position:absolute;margin-left:8.05pt;margin-top:258.75pt;width:449.25pt;height:93pt;z-index:25179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" fillcolor="#daeef3 [664]" strokecolor="white [3212]">
                <v:textbox>
                  <w:txbxContent>
                    <w:p w14:paraId="78FAB340" w14:textId="77777777" w:rsidR="00C555AB" w:rsidRPr="00E3058E" w:rsidRDefault="00C555AB" w:rsidP="00E3058E">
                      <w:pPr>
                        <w:shd w:val="clear" w:color="auto" w:fill="DAEEF3" w:themeFill="accent5" w:themeFillTint="33"/>
                        <w:spacing w:after="100" w:afterAutospacing="1" w:line="240" w:lineRule="auto"/>
                        <w:outlineLvl w:val="1"/>
                        <w:rPr>
                          <w:b/>
                          <w:bCs/>
                          <w:sz w:val="28"/>
                          <w:szCs w:val="28"/>
                        </w:rPr>
                      </w:pPr>
                      <w:r w:rsidRPr="00E3058E">
                        <w:rPr>
                          <w:b/>
                          <w:bCs/>
                          <w:sz w:val="28"/>
                          <w:szCs w:val="28"/>
                        </w:rPr>
                        <w:t>Interim/Review meeting following Post Mortem</w:t>
                      </w:r>
                    </w:p>
                    <w:p w14:paraId="44BB85E0" w14:textId="1B347525" w:rsidR="00C555AB" w:rsidRPr="008E55C1" w:rsidRDefault="00C555AB" w:rsidP="00C555AB">
                      <w:pPr>
                        <w:spacing w:after="120" w:line="240" w:lineRule="auto"/>
                        <w:rPr>
                          <w:rFonts w:cstheme="minorHAnsi"/>
                          <w:color w:val="000000"/>
                        </w:rPr>
                      </w:pPr>
                      <w:r w:rsidRPr="008E55C1">
                        <w:rPr>
                          <w:rFonts w:cstheme="minorHAnsi"/>
                          <w:color w:val="000000"/>
                        </w:rPr>
                        <w:t xml:space="preserve">Once the initial results of </w:t>
                      </w:r>
                      <w:r w:rsidR="00E3058E">
                        <w:rPr>
                          <w:rFonts w:cstheme="minorHAnsi"/>
                          <w:color w:val="000000"/>
                        </w:rPr>
                        <w:t>a</w:t>
                      </w:r>
                      <w:r w:rsidRPr="008E55C1">
                        <w:rPr>
                          <w:rFonts w:cstheme="minorHAnsi"/>
                          <w:color w:val="000000"/>
                        </w:rPr>
                        <w:t xml:space="preserve"> post mortem (or provisional results) are known</w:t>
                      </w:r>
                      <w:r w:rsidR="00E3058E">
                        <w:rPr>
                          <w:rFonts w:cstheme="minorHAnsi"/>
                          <w:color w:val="000000"/>
                        </w:rPr>
                        <w:t xml:space="preserve">, </w:t>
                      </w:r>
                      <w:r w:rsidRPr="008E55C1">
                        <w:rPr>
                          <w:rFonts w:cstheme="minorHAnsi"/>
                          <w:color w:val="000000"/>
                        </w:rPr>
                        <w:t xml:space="preserve">an </w:t>
                      </w:r>
                      <w:r w:rsidRPr="00E3058E">
                        <w:rPr>
                          <w:rFonts w:cstheme="minorHAnsi"/>
                          <w:b/>
                          <w:bCs/>
                          <w:color w:val="000000"/>
                        </w:rPr>
                        <w:t xml:space="preserve">interim/review discussion </w:t>
                      </w:r>
                      <w:r w:rsidRPr="008E55C1">
                        <w:rPr>
                          <w:rFonts w:cstheme="minorHAnsi"/>
                          <w:color w:val="000000"/>
                        </w:rPr>
                        <w:t xml:space="preserve">should take place between the lead health professional (paediatrician) , child death specialist nurse, police investigator and coroner’s officer to consider this, the outcome of </w:t>
                      </w:r>
                      <w:r w:rsidR="00E3058E">
                        <w:rPr>
                          <w:rFonts w:cstheme="minorHAnsi"/>
                          <w:color w:val="000000"/>
                        </w:rPr>
                        <w:t>a</w:t>
                      </w:r>
                      <w:r w:rsidRPr="008E55C1">
                        <w:rPr>
                          <w:rFonts w:cstheme="minorHAnsi"/>
                          <w:color w:val="000000"/>
                        </w:rPr>
                        <w:t xml:space="preserve"> joint visit ( if undertaken) and the results of any other investigations. </w:t>
                      </w:r>
                    </w:p>
                    <w:p w14:paraId="690BC44E" w14:textId="77777777" w:rsidR="00C555AB" w:rsidRPr="00C555AB" w:rsidRDefault="00C555AB" w:rsidP="00C555AB">
                      <w:pPr>
                        <w:shd w:val="clear" w:color="auto" w:fill="FFFFFF"/>
                        <w:spacing w:after="100" w:afterAutospacing="1" w:line="240" w:lineRule="auto"/>
                        <w:outlineLvl w:val="1"/>
                        <w:rPr>
                          <w:b/>
                          <w:bCs/>
                          <w:sz w:val="28"/>
                          <w:szCs w:val="28"/>
                        </w:rPr>
                      </w:pPr>
                    </w:p>
                    <w:p w14:paraId="0376CDB0" w14:textId="77777777" w:rsidR="00C555AB" w:rsidRDefault="00C555AB" w:rsidP="00C555AB"/>
                  </w:txbxContent>
                </v:textbox>
                <w10:wrap type="square" anchorx="margin"/>
              </v:shape>
            </w:pict>
          </mc:Fallback>
        </mc:AlternateContent>
      </w:r>
      <w:r w:rsidR="00C555AB" w:rsidRPr="006F0C90">
        <w:rPr>
          <w:rFonts w:asciiTheme="minorHAnsi" w:eastAsiaTheme="minorHAnsi" w:hAnsiTheme="minorHAnsi" w:cstheme="minorBidi"/>
          <w:noProof/>
          <w:sz w:val="22"/>
          <w:szCs w:val="22"/>
        </w:rPr>
        <mc:AlternateContent>
          <mc:Choice Requires="wps">
            <w:drawing>
              <wp:anchor distT="45720" distB="45720" distL="114300" distR="114300" simplePos="0" relativeHeight="251789824" behindDoc="0" locked="0" layoutInCell="1" allowOverlap="1" wp14:anchorId="015E86AD" wp14:editId="4ECF488F">
                <wp:simplePos x="0" y="0"/>
                <wp:positionH relativeFrom="margin">
                  <wp:posOffset>92710</wp:posOffset>
                </wp:positionH>
                <wp:positionV relativeFrom="paragraph">
                  <wp:posOffset>77470</wp:posOffset>
                </wp:positionV>
                <wp:extent cx="5781675" cy="31242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24200"/>
                        </a:xfrm>
                        <a:prstGeom prst="rect">
                          <a:avLst/>
                        </a:prstGeom>
                        <a:solidFill>
                          <a:schemeClr val="bg2"/>
                        </a:solidFill>
                        <a:ln w="9525">
                          <a:solidFill>
                            <a:schemeClr val="bg1"/>
                          </a:solidFill>
                          <a:miter lim="800000"/>
                          <a:headEnd/>
                          <a:tailEnd/>
                        </a:ln>
                      </wps:spPr>
                      <wps:txbx>
                        <w:txbxContent>
                          <w:p w14:paraId="36B744C2" w14:textId="77777777" w:rsidR="00C555AB" w:rsidRPr="006F0C90"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b/>
                                <w:bCs/>
                                <w:sz w:val="28"/>
                                <w:szCs w:val="28"/>
                                <w:lang w:eastAsia="en-US"/>
                              </w:rPr>
                            </w:pPr>
                            <w:r w:rsidRPr="006F0C90">
                              <w:rPr>
                                <w:rFonts w:asciiTheme="minorHAnsi" w:eastAsiaTheme="minorHAnsi" w:hAnsiTheme="minorHAnsi" w:cstheme="minorBidi"/>
                                <w:b/>
                                <w:bCs/>
                                <w:sz w:val="28"/>
                                <w:szCs w:val="28"/>
                                <w:lang w:eastAsia="en-US"/>
                              </w:rPr>
                              <w:t>Children brought to hospital severely injured</w:t>
                            </w:r>
                          </w:p>
                          <w:p w14:paraId="2BD7517A" w14:textId="68911F24" w:rsidR="00C555AB" w:rsidRPr="00C555AB"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sz w:val="22"/>
                                <w:szCs w:val="22"/>
                                <w:lang w:eastAsia="en-US"/>
                              </w:rPr>
                            </w:pPr>
                            <w:r w:rsidRPr="006F0C90">
                              <w:rPr>
                                <w:rFonts w:asciiTheme="minorHAnsi" w:eastAsiaTheme="minorHAnsi" w:hAnsiTheme="minorHAnsi" w:cstheme="minorBidi"/>
                                <w:sz w:val="22"/>
                                <w:szCs w:val="22"/>
                                <w:lang w:eastAsia="en-US"/>
                              </w:rPr>
                              <w:t>A Joint Agency Response (JAR) is a coordinated multi-agency response by the lead health professional, police investigator, duty social worker</w:t>
                            </w:r>
                            <w:r w:rsidRPr="00C555AB">
                              <w:rPr>
                                <w:rFonts w:asciiTheme="minorHAnsi" w:eastAsiaTheme="minorHAnsi" w:hAnsiTheme="minorHAnsi" w:cstheme="minorBidi"/>
                                <w:sz w:val="22"/>
                                <w:szCs w:val="22"/>
                                <w:lang w:eastAsia="en-US"/>
                              </w:rPr>
                              <w:t xml:space="preserve"> and should be triggered if a child’s death:</w:t>
                            </w:r>
                          </w:p>
                          <w:p w14:paraId="7E5D7FB8"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is or could be due to external causes;</w:t>
                            </w:r>
                          </w:p>
                          <w:p w14:paraId="63F9C435"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is sudden and there is no immediately apparent cause (including sudden </w:t>
                            </w:r>
                            <w:hyperlink r:id="rId19" w:anchor="gl43" w:history="1">
                              <w:r w:rsidRPr="00C555AB">
                                <w:t>unexpected death</w:t>
                              </w:r>
                            </w:hyperlink>
                            <w:r w:rsidRPr="00C555AB">
                              <w:t> in infancy/childhood (SUDI/C);</w:t>
                            </w:r>
                          </w:p>
                          <w:p w14:paraId="7FE90396"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occurs in custody, or where the child was detained under the Mental Health Act;</w:t>
                            </w:r>
                          </w:p>
                          <w:p w14:paraId="293B85A2"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where the initial circumstances raise any suspicions that the death may not have been natural; or</w:t>
                            </w:r>
                          </w:p>
                          <w:p w14:paraId="6B82604E"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in the case of a stillbirth where no healthcare professional was in attendance.</w:t>
                            </w:r>
                          </w:p>
                          <w:p w14:paraId="03B582FB" w14:textId="77777777" w:rsidR="00C555AB" w:rsidRPr="00C555AB"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sz w:val="22"/>
                                <w:szCs w:val="22"/>
                                <w:lang w:eastAsia="en-US"/>
                              </w:rPr>
                            </w:pPr>
                            <w:r w:rsidRPr="00C555AB">
                              <w:rPr>
                                <w:rFonts w:asciiTheme="minorHAnsi" w:eastAsiaTheme="minorHAnsi" w:hAnsiTheme="minorHAnsi" w:cstheme="minorBidi"/>
                                <w:sz w:val="22"/>
                                <w:szCs w:val="22"/>
                                <w:lang w:eastAsia="en-US"/>
                              </w:rPr>
                              <w:t>A Joint Agency Response should also be triggered if such children are brought to hospital near death, are successfully resuscitated, but are expected to die in the following days.</w:t>
                            </w:r>
                          </w:p>
                          <w:p w14:paraId="2F012CB1" w14:textId="43EA7B9D" w:rsidR="005663A8"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b/>
                                <w:bCs/>
                                <w:sz w:val="22"/>
                                <w:szCs w:val="22"/>
                                <w:lang w:eastAsia="en-US"/>
                              </w:rPr>
                            </w:pPr>
                            <w:r w:rsidRPr="0010552F">
                              <w:rPr>
                                <w:rFonts w:asciiTheme="minorHAnsi" w:eastAsiaTheme="minorHAnsi" w:hAnsiTheme="minorHAnsi" w:cstheme="minorBidi"/>
                                <w:b/>
                                <w:bCs/>
                                <w:sz w:val="22"/>
                                <w:szCs w:val="22"/>
                                <w:lang w:eastAsia="en-US"/>
                              </w:rPr>
                              <w:t>A JAR should also be triggered if such children are brought to hospital severely injured</w:t>
                            </w:r>
                            <w:r w:rsidR="0010552F" w:rsidRPr="0010552F">
                              <w:rPr>
                                <w:rFonts w:asciiTheme="minorHAnsi" w:eastAsiaTheme="minorHAnsi" w:hAnsiTheme="minorHAnsi" w:cstheme="minorBidi"/>
                                <w:b/>
                                <w:bCs/>
                                <w:sz w:val="22"/>
                                <w:szCs w:val="22"/>
                                <w:lang w:eastAsia="en-US"/>
                              </w:rPr>
                              <w:t>.</w:t>
                            </w:r>
                          </w:p>
                          <w:p w14:paraId="5B1C4D14" w14:textId="77777777" w:rsidR="005663A8" w:rsidRPr="00C555AB" w:rsidRDefault="005663A8" w:rsidP="00C555AB">
                            <w:pPr>
                              <w:pStyle w:val="NormalWeb"/>
                              <w:shd w:val="clear" w:color="auto" w:fill="EEECE1" w:themeFill="background2"/>
                              <w:spacing w:before="0" w:beforeAutospacing="0" w:after="120" w:afterAutospacing="0"/>
                              <w:rPr>
                                <w:rFonts w:asciiTheme="minorHAnsi" w:eastAsiaTheme="minorHAnsi" w:hAnsiTheme="minorHAnsi" w:cstheme="minorBidi"/>
                                <w:b/>
                                <w:bCs/>
                                <w:sz w:val="22"/>
                                <w:szCs w:val="22"/>
                                <w:lang w:eastAsia="en-US"/>
                              </w:rPr>
                            </w:pPr>
                          </w:p>
                          <w:p w14:paraId="309F5EAB" w14:textId="5C4BCCC1" w:rsidR="00C555AB" w:rsidRPr="006F0C90"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sz w:val="22"/>
                                <w:szCs w:val="22"/>
                                <w:lang w:eastAsia="en-US"/>
                              </w:rPr>
                            </w:pPr>
                          </w:p>
                          <w:p w14:paraId="6CFF9D8F" w14:textId="77777777" w:rsidR="00C555AB" w:rsidRDefault="00C555AB" w:rsidP="00C555AB">
                            <w:pPr>
                              <w:shd w:val="clear" w:color="auto" w:fill="EEECE1" w:themeFill="background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86AD" id="_x0000_s1029" type="#_x0000_t202" style="position:absolute;margin-left:7.3pt;margin-top:6.1pt;width:455.25pt;height:246pt;z-index:25178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" fillcolor="#eeece1 [3214]" strokecolor="white [3212]">
                <v:textbox>
                  <w:txbxContent>
                    <w:p w14:paraId="36B744C2" w14:textId="77777777" w:rsidR="00C555AB" w:rsidRPr="006F0C90"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b/>
                          <w:bCs/>
                          <w:sz w:val="28"/>
                          <w:szCs w:val="28"/>
                          <w:lang w:eastAsia="en-US"/>
                        </w:rPr>
                      </w:pPr>
                      <w:r w:rsidRPr="006F0C90">
                        <w:rPr>
                          <w:rFonts w:asciiTheme="minorHAnsi" w:eastAsiaTheme="minorHAnsi" w:hAnsiTheme="minorHAnsi" w:cstheme="minorBidi"/>
                          <w:b/>
                          <w:bCs/>
                          <w:sz w:val="28"/>
                          <w:szCs w:val="28"/>
                          <w:lang w:eastAsia="en-US"/>
                        </w:rPr>
                        <w:t>Children brought to hospital severely injured</w:t>
                      </w:r>
                    </w:p>
                    <w:p w14:paraId="2BD7517A" w14:textId="68911F24" w:rsidR="00C555AB" w:rsidRPr="00C555AB"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sz w:val="22"/>
                          <w:szCs w:val="22"/>
                          <w:lang w:eastAsia="en-US"/>
                        </w:rPr>
                      </w:pPr>
                      <w:r w:rsidRPr="006F0C90">
                        <w:rPr>
                          <w:rFonts w:asciiTheme="minorHAnsi" w:eastAsiaTheme="minorHAnsi" w:hAnsiTheme="minorHAnsi" w:cstheme="minorBidi"/>
                          <w:sz w:val="22"/>
                          <w:szCs w:val="22"/>
                          <w:lang w:eastAsia="en-US"/>
                        </w:rPr>
                        <w:t>A Joint Agency Response (JAR) is a coordinated multi-agency response by the lead health professional, police investigator, duty social worker</w:t>
                      </w:r>
                      <w:r w:rsidRPr="00C555AB">
                        <w:rPr>
                          <w:rFonts w:asciiTheme="minorHAnsi" w:eastAsiaTheme="minorHAnsi" w:hAnsiTheme="minorHAnsi" w:cstheme="minorBidi"/>
                          <w:sz w:val="22"/>
                          <w:szCs w:val="22"/>
                          <w:lang w:eastAsia="en-US"/>
                        </w:rPr>
                        <w:t xml:space="preserve"> and should be triggered if a child’s death:</w:t>
                      </w:r>
                    </w:p>
                    <w:p w14:paraId="7E5D7FB8"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is or could be due to external causes;</w:t>
                      </w:r>
                    </w:p>
                    <w:p w14:paraId="63F9C435"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is sudden and there is no immediately apparent cause (including sudden </w:t>
                      </w:r>
                      <w:hyperlink r:id="rId20" w:anchor="gl43" w:history="1">
                        <w:r w:rsidRPr="00C555AB">
                          <w:t>unexpected death</w:t>
                        </w:r>
                      </w:hyperlink>
                      <w:r w:rsidRPr="00C555AB">
                        <w:t> in infancy/childhood (SUDI/C);</w:t>
                      </w:r>
                    </w:p>
                    <w:p w14:paraId="7FE90396"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occurs in custody, or where the child was detained under the Mental Health Act;</w:t>
                      </w:r>
                    </w:p>
                    <w:p w14:paraId="293B85A2"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where the initial circumstances raise any suspicions that the death may not have been natural; or</w:t>
                      </w:r>
                    </w:p>
                    <w:p w14:paraId="6B82604E" w14:textId="77777777" w:rsidR="00C555AB" w:rsidRPr="00C555AB" w:rsidRDefault="00C555AB" w:rsidP="00C555AB">
                      <w:pPr>
                        <w:numPr>
                          <w:ilvl w:val="0"/>
                          <w:numId w:val="36"/>
                        </w:numPr>
                        <w:shd w:val="clear" w:color="auto" w:fill="EEECE1" w:themeFill="background2"/>
                        <w:spacing w:before="100" w:beforeAutospacing="1" w:after="100" w:afterAutospacing="1" w:line="240" w:lineRule="auto"/>
                      </w:pPr>
                      <w:r w:rsidRPr="00C555AB">
                        <w:t>in the case of a stillbirth where no healthcare professional was in attendance.</w:t>
                      </w:r>
                    </w:p>
                    <w:p w14:paraId="03B582FB" w14:textId="77777777" w:rsidR="00C555AB" w:rsidRPr="00C555AB"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sz w:val="22"/>
                          <w:szCs w:val="22"/>
                          <w:lang w:eastAsia="en-US"/>
                        </w:rPr>
                      </w:pPr>
                      <w:r w:rsidRPr="00C555AB">
                        <w:rPr>
                          <w:rFonts w:asciiTheme="minorHAnsi" w:eastAsiaTheme="minorHAnsi" w:hAnsiTheme="minorHAnsi" w:cstheme="minorBidi"/>
                          <w:sz w:val="22"/>
                          <w:szCs w:val="22"/>
                          <w:lang w:eastAsia="en-US"/>
                        </w:rPr>
                        <w:t>A Joint Agency Response should also be triggered if such children are brought to hospital near death, are successfully resuscitated, but are expected to die in the following days.</w:t>
                      </w:r>
                    </w:p>
                    <w:p w14:paraId="2F012CB1" w14:textId="43EA7B9D" w:rsidR="005663A8"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b/>
                          <w:bCs/>
                          <w:sz w:val="22"/>
                          <w:szCs w:val="22"/>
                          <w:lang w:eastAsia="en-US"/>
                        </w:rPr>
                      </w:pPr>
                      <w:r w:rsidRPr="0010552F">
                        <w:rPr>
                          <w:rFonts w:asciiTheme="minorHAnsi" w:eastAsiaTheme="minorHAnsi" w:hAnsiTheme="minorHAnsi" w:cstheme="minorBidi"/>
                          <w:b/>
                          <w:bCs/>
                          <w:sz w:val="22"/>
                          <w:szCs w:val="22"/>
                          <w:lang w:eastAsia="en-US"/>
                        </w:rPr>
                        <w:t>A JAR should also be triggered if such children are brought to hospital severely injured</w:t>
                      </w:r>
                      <w:r w:rsidR="0010552F" w:rsidRPr="0010552F">
                        <w:rPr>
                          <w:rFonts w:asciiTheme="minorHAnsi" w:eastAsiaTheme="minorHAnsi" w:hAnsiTheme="minorHAnsi" w:cstheme="minorBidi"/>
                          <w:b/>
                          <w:bCs/>
                          <w:sz w:val="22"/>
                          <w:szCs w:val="22"/>
                          <w:lang w:eastAsia="en-US"/>
                        </w:rPr>
                        <w:t>.</w:t>
                      </w:r>
                    </w:p>
                    <w:p w14:paraId="5B1C4D14" w14:textId="77777777" w:rsidR="005663A8" w:rsidRPr="00C555AB" w:rsidRDefault="005663A8" w:rsidP="00C555AB">
                      <w:pPr>
                        <w:pStyle w:val="NormalWeb"/>
                        <w:shd w:val="clear" w:color="auto" w:fill="EEECE1" w:themeFill="background2"/>
                        <w:spacing w:before="0" w:beforeAutospacing="0" w:after="120" w:afterAutospacing="0"/>
                        <w:rPr>
                          <w:rFonts w:asciiTheme="minorHAnsi" w:eastAsiaTheme="minorHAnsi" w:hAnsiTheme="minorHAnsi" w:cstheme="minorBidi"/>
                          <w:b/>
                          <w:bCs/>
                          <w:sz w:val="22"/>
                          <w:szCs w:val="22"/>
                          <w:lang w:eastAsia="en-US"/>
                        </w:rPr>
                      </w:pPr>
                    </w:p>
                    <w:p w14:paraId="309F5EAB" w14:textId="5C4BCCC1" w:rsidR="00C555AB" w:rsidRPr="006F0C90" w:rsidRDefault="00C555AB" w:rsidP="00C555AB">
                      <w:pPr>
                        <w:pStyle w:val="NormalWeb"/>
                        <w:shd w:val="clear" w:color="auto" w:fill="EEECE1" w:themeFill="background2"/>
                        <w:spacing w:before="0" w:beforeAutospacing="0" w:after="120" w:afterAutospacing="0"/>
                        <w:rPr>
                          <w:rFonts w:asciiTheme="minorHAnsi" w:eastAsiaTheme="minorHAnsi" w:hAnsiTheme="minorHAnsi" w:cstheme="minorBidi"/>
                          <w:sz w:val="22"/>
                          <w:szCs w:val="22"/>
                          <w:lang w:eastAsia="en-US"/>
                        </w:rPr>
                      </w:pPr>
                    </w:p>
                    <w:p w14:paraId="6CFF9D8F" w14:textId="77777777" w:rsidR="00C555AB" w:rsidRDefault="00C555AB" w:rsidP="00C555AB">
                      <w:pPr>
                        <w:shd w:val="clear" w:color="auto" w:fill="EEECE1" w:themeFill="background2"/>
                      </w:pPr>
                    </w:p>
                  </w:txbxContent>
                </v:textbox>
                <w10:wrap type="square" anchorx="margin"/>
              </v:shape>
            </w:pict>
          </mc:Fallback>
        </mc:AlternateContent>
      </w:r>
    </w:p>
    <w:sectPr w:rsidR="00C555AB">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33FA" w14:textId="77777777" w:rsidR="000917DD" w:rsidRDefault="000917DD" w:rsidP="00777A0A">
      <w:pPr>
        <w:spacing w:after="0" w:line="240" w:lineRule="auto"/>
      </w:pPr>
      <w:r>
        <w:separator/>
      </w:r>
    </w:p>
  </w:endnote>
  <w:endnote w:type="continuationSeparator" w:id="0">
    <w:p w14:paraId="20552962" w14:textId="77777777" w:rsidR="000917DD" w:rsidRDefault="000917DD" w:rsidP="0077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53056" w14:textId="77777777" w:rsidR="000917DD" w:rsidRDefault="000917DD" w:rsidP="00777A0A">
      <w:pPr>
        <w:spacing w:after="0" w:line="240" w:lineRule="auto"/>
      </w:pPr>
      <w:r>
        <w:separator/>
      </w:r>
    </w:p>
  </w:footnote>
  <w:footnote w:type="continuationSeparator" w:id="0">
    <w:p w14:paraId="2618DB2B" w14:textId="77777777" w:rsidR="000917DD" w:rsidRDefault="000917DD" w:rsidP="00777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B0E2" w14:textId="77777777" w:rsidR="00777A0A" w:rsidRDefault="00777A0A" w:rsidP="00777A0A">
    <w:pPr>
      <w:pStyle w:val="Header"/>
    </w:pPr>
    <w:r>
      <w:rPr>
        <w:noProof/>
        <w:lang w:eastAsia="en-GB"/>
      </w:rPr>
      <w:drawing>
        <wp:anchor distT="0" distB="0" distL="114300" distR="114300" simplePos="0" relativeHeight="251633152" behindDoc="0" locked="0" layoutInCell="1" allowOverlap="1" wp14:anchorId="4F84594D" wp14:editId="2362B8D0">
          <wp:simplePos x="0" y="0"/>
          <wp:positionH relativeFrom="column">
            <wp:posOffset>4169600</wp:posOffset>
          </wp:positionH>
          <wp:positionV relativeFrom="paragraph">
            <wp:posOffset>-328930</wp:posOffset>
          </wp:positionV>
          <wp:extent cx="1365885" cy="771525"/>
          <wp:effectExtent l="0" t="0" r="5715" b="952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5885" cy="7715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4176" behindDoc="0" locked="0" layoutInCell="1" allowOverlap="1" wp14:anchorId="1D58D53D" wp14:editId="73F9382F">
          <wp:simplePos x="0" y="0"/>
          <wp:positionH relativeFrom="column">
            <wp:posOffset>2113783</wp:posOffset>
          </wp:positionH>
          <wp:positionV relativeFrom="paragraph">
            <wp:posOffset>-330835</wp:posOffset>
          </wp:positionV>
          <wp:extent cx="1484415" cy="808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415" cy="8088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28032" behindDoc="0" locked="0" layoutInCell="1" allowOverlap="1" wp14:anchorId="3AED57AA" wp14:editId="3E48E083">
          <wp:simplePos x="0" y="0"/>
          <wp:positionH relativeFrom="margin">
            <wp:posOffset>-73490</wp:posOffset>
          </wp:positionH>
          <wp:positionV relativeFrom="paragraph">
            <wp:posOffset>-344170</wp:posOffset>
          </wp:positionV>
          <wp:extent cx="1847850" cy="78232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47850" cy="782320"/>
                  </a:xfrm>
                  <a:prstGeom prst="rect">
                    <a:avLst/>
                  </a:prstGeom>
                </pic:spPr>
              </pic:pic>
            </a:graphicData>
          </a:graphic>
          <wp14:sizeRelH relativeFrom="page">
            <wp14:pctWidth>0</wp14:pctWidth>
          </wp14:sizeRelH>
          <wp14:sizeRelV relativeFrom="page">
            <wp14:pctHeight>0</wp14:pctHeight>
          </wp14:sizeRelV>
        </wp:anchor>
      </w:drawing>
    </w:r>
  </w:p>
  <w:p w14:paraId="081DBECC" w14:textId="77777777" w:rsidR="00777A0A" w:rsidRDefault="00777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6B4A"/>
    <w:multiLevelType w:val="multilevel"/>
    <w:tmpl w:val="9594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4F23"/>
    <w:multiLevelType w:val="hybridMultilevel"/>
    <w:tmpl w:val="4F9CA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33230"/>
    <w:multiLevelType w:val="hybridMultilevel"/>
    <w:tmpl w:val="24FE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A6EA0"/>
    <w:multiLevelType w:val="multilevel"/>
    <w:tmpl w:val="6748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4F5C"/>
    <w:multiLevelType w:val="hybridMultilevel"/>
    <w:tmpl w:val="3C02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4506E"/>
    <w:multiLevelType w:val="hybridMultilevel"/>
    <w:tmpl w:val="68A2AC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1F3D147A"/>
    <w:multiLevelType w:val="multilevel"/>
    <w:tmpl w:val="7422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C3266"/>
    <w:multiLevelType w:val="hybridMultilevel"/>
    <w:tmpl w:val="2CA2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11F0"/>
    <w:multiLevelType w:val="multilevel"/>
    <w:tmpl w:val="FF76FBE6"/>
    <w:lvl w:ilvl="0">
      <w:start w:val="5"/>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9" w15:restartNumberingAfterBreak="0">
    <w:nsid w:val="292644CE"/>
    <w:multiLevelType w:val="multilevel"/>
    <w:tmpl w:val="9C3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63758"/>
    <w:multiLevelType w:val="hybridMultilevel"/>
    <w:tmpl w:val="7AF0D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062180"/>
    <w:multiLevelType w:val="hybridMultilevel"/>
    <w:tmpl w:val="EBA4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A5033"/>
    <w:multiLevelType w:val="hybridMultilevel"/>
    <w:tmpl w:val="AE12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71E45"/>
    <w:multiLevelType w:val="hybridMultilevel"/>
    <w:tmpl w:val="9D46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73BB7"/>
    <w:multiLevelType w:val="hybridMultilevel"/>
    <w:tmpl w:val="8FA886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C6F26A2"/>
    <w:multiLevelType w:val="hybridMultilevel"/>
    <w:tmpl w:val="BF76C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C3E34"/>
    <w:multiLevelType w:val="hybridMultilevel"/>
    <w:tmpl w:val="2B9A1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A75DC"/>
    <w:multiLevelType w:val="multilevel"/>
    <w:tmpl w:val="B2AE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F5D7A"/>
    <w:multiLevelType w:val="multilevel"/>
    <w:tmpl w:val="925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E15623"/>
    <w:multiLevelType w:val="hybridMultilevel"/>
    <w:tmpl w:val="2BE2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06A0C"/>
    <w:multiLevelType w:val="hybridMultilevel"/>
    <w:tmpl w:val="2C9259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9E203B"/>
    <w:multiLevelType w:val="multilevel"/>
    <w:tmpl w:val="3A6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9B25C4"/>
    <w:multiLevelType w:val="hybridMultilevel"/>
    <w:tmpl w:val="19B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C75DC"/>
    <w:multiLevelType w:val="hybridMultilevel"/>
    <w:tmpl w:val="62F2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E3BE4"/>
    <w:multiLevelType w:val="hybridMultilevel"/>
    <w:tmpl w:val="A32A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7979"/>
    <w:multiLevelType w:val="hybridMultilevel"/>
    <w:tmpl w:val="BFE8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C782D"/>
    <w:multiLevelType w:val="hybridMultilevel"/>
    <w:tmpl w:val="2AA45D24"/>
    <w:lvl w:ilvl="0" w:tplc="D0EA40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822EA3"/>
    <w:multiLevelType w:val="multilevel"/>
    <w:tmpl w:val="C4F6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2442F"/>
    <w:multiLevelType w:val="multilevel"/>
    <w:tmpl w:val="2540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DE6D55"/>
    <w:multiLevelType w:val="hybridMultilevel"/>
    <w:tmpl w:val="3EAA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E1E70"/>
    <w:multiLevelType w:val="multilevel"/>
    <w:tmpl w:val="B7F8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354EB6"/>
    <w:multiLevelType w:val="hybridMultilevel"/>
    <w:tmpl w:val="C356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36079"/>
    <w:multiLevelType w:val="multilevel"/>
    <w:tmpl w:val="97A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706BD"/>
    <w:multiLevelType w:val="hybridMultilevel"/>
    <w:tmpl w:val="2AAA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30857"/>
    <w:multiLevelType w:val="multilevel"/>
    <w:tmpl w:val="5DD4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26"/>
  </w:num>
  <w:num w:numId="4">
    <w:abstractNumId w:val="16"/>
  </w:num>
  <w:num w:numId="5">
    <w:abstractNumId w:val="15"/>
  </w:num>
  <w:num w:numId="6">
    <w:abstractNumId w:val="11"/>
  </w:num>
  <w:num w:numId="7">
    <w:abstractNumId w:val="33"/>
  </w:num>
  <w:num w:numId="8">
    <w:abstractNumId w:val="8"/>
  </w:num>
  <w:num w:numId="9">
    <w:abstractNumId w:val="5"/>
  </w:num>
  <w:num w:numId="10">
    <w:abstractNumId w:val="21"/>
  </w:num>
  <w:num w:numId="11">
    <w:abstractNumId w:val="31"/>
  </w:num>
  <w:num w:numId="12">
    <w:abstractNumId w:val="13"/>
  </w:num>
  <w:num w:numId="13">
    <w:abstractNumId w:val="24"/>
  </w:num>
  <w:num w:numId="14">
    <w:abstractNumId w:val="6"/>
  </w:num>
  <w:num w:numId="15">
    <w:abstractNumId w:val="9"/>
  </w:num>
  <w:num w:numId="16">
    <w:abstractNumId w:val="30"/>
  </w:num>
  <w:num w:numId="17">
    <w:abstractNumId w:val="10"/>
  </w:num>
  <w:num w:numId="18">
    <w:abstractNumId w:val="1"/>
  </w:num>
  <w:num w:numId="19">
    <w:abstractNumId w:val="1"/>
  </w:num>
  <w:num w:numId="20">
    <w:abstractNumId w:val="14"/>
  </w:num>
  <w:num w:numId="21">
    <w:abstractNumId w:val="29"/>
  </w:num>
  <w:num w:numId="22">
    <w:abstractNumId w:val="25"/>
  </w:num>
  <w:num w:numId="23">
    <w:abstractNumId w:val="27"/>
  </w:num>
  <w:num w:numId="24">
    <w:abstractNumId w:val="20"/>
  </w:num>
  <w:num w:numId="25">
    <w:abstractNumId w:val="2"/>
  </w:num>
  <w:num w:numId="26">
    <w:abstractNumId w:val="18"/>
  </w:num>
  <w:num w:numId="27">
    <w:abstractNumId w:val="28"/>
  </w:num>
  <w:num w:numId="28">
    <w:abstractNumId w:val="17"/>
  </w:num>
  <w:num w:numId="29">
    <w:abstractNumId w:val="32"/>
  </w:num>
  <w:num w:numId="30">
    <w:abstractNumId w:val="19"/>
  </w:num>
  <w:num w:numId="31">
    <w:abstractNumId w:val="22"/>
  </w:num>
  <w:num w:numId="32">
    <w:abstractNumId w:val="3"/>
  </w:num>
  <w:num w:numId="33">
    <w:abstractNumId w:val="4"/>
  </w:num>
  <w:num w:numId="34">
    <w:abstractNumId w:val="0"/>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jA2MDQ2NbY0MzRS0lEKTi0uzszPAykwqQUAMuhx1ywAAAA="/>
  </w:docVars>
  <w:rsids>
    <w:rsidRoot w:val="009C15B5"/>
    <w:rsid w:val="00002E66"/>
    <w:rsid w:val="000155B8"/>
    <w:rsid w:val="0002544A"/>
    <w:rsid w:val="0007574F"/>
    <w:rsid w:val="000917DD"/>
    <w:rsid w:val="00095C55"/>
    <w:rsid w:val="000A300D"/>
    <w:rsid w:val="0010552F"/>
    <w:rsid w:val="00112F0B"/>
    <w:rsid w:val="00115A62"/>
    <w:rsid w:val="00120B58"/>
    <w:rsid w:val="00127E57"/>
    <w:rsid w:val="00131AA0"/>
    <w:rsid w:val="001416C1"/>
    <w:rsid w:val="0014694B"/>
    <w:rsid w:val="00157491"/>
    <w:rsid w:val="001779AD"/>
    <w:rsid w:val="00192A19"/>
    <w:rsid w:val="00193AA6"/>
    <w:rsid w:val="00200711"/>
    <w:rsid w:val="00211A14"/>
    <w:rsid w:val="00220569"/>
    <w:rsid w:val="00242DD0"/>
    <w:rsid w:val="00260D85"/>
    <w:rsid w:val="00265C11"/>
    <w:rsid w:val="00291928"/>
    <w:rsid w:val="002919EA"/>
    <w:rsid w:val="002D3326"/>
    <w:rsid w:val="002F4746"/>
    <w:rsid w:val="002F5163"/>
    <w:rsid w:val="00361139"/>
    <w:rsid w:val="00383782"/>
    <w:rsid w:val="00392ACA"/>
    <w:rsid w:val="003B76F5"/>
    <w:rsid w:val="003C018D"/>
    <w:rsid w:val="003D2B43"/>
    <w:rsid w:val="003E293E"/>
    <w:rsid w:val="003E67D7"/>
    <w:rsid w:val="003F1AB1"/>
    <w:rsid w:val="00407E4B"/>
    <w:rsid w:val="004214E0"/>
    <w:rsid w:val="00457D15"/>
    <w:rsid w:val="00483776"/>
    <w:rsid w:val="004972D0"/>
    <w:rsid w:val="004C0BA3"/>
    <w:rsid w:val="004D7F65"/>
    <w:rsid w:val="005348D6"/>
    <w:rsid w:val="005663A8"/>
    <w:rsid w:val="0057058E"/>
    <w:rsid w:val="005A59A7"/>
    <w:rsid w:val="005B2498"/>
    <w:rsid w:val="005D7A0E"/>
    <w:rsid w:val="005E4B3E"/>
    <w:rsid w:val="005F167B"/>
    <w:rsid w:val="005F5553"/>
    <w:rsid w:val="00617581"/>
    <w:rsid w:val="006C54AD"/>
    <w:rsid w:val="006D781E"/>
    <w:rsid w:val="006F0C90"/>
    <w:rsid w:val="006F3DE5"/>
    <w:rsid w:val="00717F04"/>
    <w:rsid w:val="00725039"/>
    <w:rsid w:val="007359F2"/>
    <w:rsid w:val="00735AF3"/>
    <w:rsid w:val="00754285"/>
    <w:rsid w:val="0075662B"/>
    <w:rsid w:val="00777A0A"/>
    <w:rsid w:val="007A29CD"/>
    <w:rsid w:val="007A302E"/>
    <w:rsid w:val="007B1C37"/>
    <w:rsid w:val="007B23D5"/>
    <w:rsid w:val="007B618C"/>
    <w:rsid w:val="007B7650"/>
    <w:rsid w:val="007C6BB0"/>
    <w:rsid w:val="00836800"/>
    <w:rsid w:val="008649A7"/>
    <w:rsid w:val="00865DFC"/>
    <w:rsid w:val="00874D3A"/>
    <w:rsid w:val="00884F4D"/>
    <w:rsid w:val="00894A24"/>
    <w:rsid w:val="008B7863"/>
    <w:rsid w:val="008E43B4"/>
    <w:rsid w:val="008F6E61"/>
    <w:rsid w:val="009025E9"/>
    <w:rsid w:val="00937F64"/>
    <w:rsid w:val="009638A0"/>
    <w:rsid w:val="00984491"/>
    <w:rsid w:val="009A3DA0"/>
    <w:rsid w:val="009C15B5"/>
    <w:rsid w:val="009F4853"/>
    <w:rsid w:val="00A02049"/>
    <w:rsid w:val="00A14D18"/>
    <w:rsid w:val="00A30FC5"/>
    <w:rsid w:val="00A903F4"/>
    <w:rsid w:val="00A944EF"/>
    <w:rsid w:val="00AA1118"/>
    <w:rsid w:val="00AB57E9"/>
    <w:rsid w:val="00AC6F00"/>
    <w:rsid w:val="00B31924"/>
    <w:rsid w:val="00B65565"/>
    <w:rsid w:val="00BA4D76"/>
    <w:rsid w:val="00BD0F5B"/>
    <w:rsid w:val="00C25695"/>
    <w:rsid w:val="00C34D14"/>
    <w:rsid w:val="00C40E44"/>
    <w:rsid w:val="00C45BB9"/>
    <w:rsid w:val="00C555AB"/>
    <w:rsid w:val="00C65005"/>
    <w:rsid w:val="00CC3C1E"/>
    <w:rsid w:val="00CC6C22"/>
    <w:rsid w:val="00CE389D"/>
    <w:rsid w:val="00CF3F75"/>
    <w:rsid w:val="00D44EF3"/>
    <w:rsid w:val="00D46F47"/>
    <w:rsid w:val="00D6217D"/>
    <w:rsid w:val="00D62531"/>
    <w:rsid w:val="00D903FA"/>
    <w:rsid w:val="00DC2D89"/>
    <w:rsid w:val="00DC6DBD"/>
    <w:rsid w:val="00DD64BC"/>
    <w:rsid w:val="00E04E0C"/>
    <w:rsid w:val="00E2733C"/>
    <w:rsid w:val="00E3058E"/>
    <w:rsid w:val="00E35287"/>
    <w:rsid w:val="00E846E6"/>
    <w:rsid w:val="00EA01F3"/>
    <w:rsid w:val="00EA09F7"/>
    <w:rsid w:val="00F17023"/>
    <w:rsid w:val="00F31A4B"/>
    <w:rsid w:val="00F40A41"/>
    <w:rsid w:val="00F50284"/>
    <w:rsid w:val="00F54FDF"/>
    <w:rsid w:val="00F66E4B"/>
    <w:rsid w:val="00FB531A"/>
    <w:rsid w:val="00FC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43FC"/>
  <w15:docId w15:val="{C759F7CB-9A00-4010-8449-5AB52E7C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59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D64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B5"/>
    <w:pPr>
      <w:ind w:left="720"/>
      <w:contextualSpacing/>
    </w:pPr>
  </w:style>
  <w:style w:type="table" w:styleId="TableGrid">
    <w:name w:val="Table Grid"/>
    <w:basedOn w:val="TableNormal"/>
    <w:uiPriority w:val="59"/>
    <w:rsid w:val="009C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F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0FC5"/>
    <w:rPr>
      <w:color w:val="0000FF" w:themeColor="hyperlink"/>
      <w:u w:val="single"/>
    </w:rPr>
  </w:style>
  <w:style w:type="character" w:customStyle="1" w:styleId="Heading3Char">
    <w:name w:val="Heading 3 Char"/>
    <w:basedOn w:val="DefaultParagraphFont"/>
    <w:link w:val="Heading3"/>
    <w:uiPriority w:val="9"/>
    <w:rsid w:val="00DD64B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D64BC"/>
    <w:rPr>
      <w:b/>
      <w:bCs/>
    </w:rPr>
  </w:style>
  <w:style w:type="paragraph" w:styleId="PlainText">
    <w:name w:val="Plain Text"/>
    <w:basedOn w:val="Normal"/>
    <w:link w:val="PlainTextChar"/>
    <w:uiPriority w:val="99"/>
    <w:semiHidden/>
    <w:unhideWhenUsed/>
    <w:rsid w:val="007B765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B7650"/>
    <w:rPr>
      <w:rFonts w:ascii="Calibri" w:hAnsi="Calibri" w:cs="Calibri"/>
    </w:rPr>
  </w:style>
  <w:style w:type="character" w:styleId="FollowedHyperlink">
    <w:name w:val="FollowedHyperlink"/>
    <w:basedOn w:val="DefaultParagraphFont"/>
    <w:uiPriority w:val="99"/>
    <w:semiHidden/>
    <w:unhideWhenUsed/>
    <w:rsid w:val="007B7650"/>
    <w:rPr>
      <w:color w:val="800080" w:themeColor="followedHyperlink"/>
      <w:u w:val="single"/>
    </w:rPr>
  </w:style>
  <w:style w:type="character" w:styleId="CommentReference">
    <w:name w:val="annotation reference"/>
    <w:basedOn w:val="DefaultParagraphFont"/>
    <w:uiPriority w:val="99"/>
    <w:semiHidden/>
    <w:unhideWhenUsed/>
    <w:rsid w:val="00392ACA"/>
    <w:rPr>
      <w:sz w:val="16"/>
      <w:szCs w:val="16"/>
    </w:rPr>
  </w:style>
  <w:style w:type="paragraph" w:styleId="CommentText">
    <w:name w:val="annotation text"/>
    <w:basedOn w:val="Normal"/>
    <w:link w:val="CommentTextChar"/>
    <w:uiPriority w:val="99"/>
    <w:unhideWhenUsed/>
    <w:rsid w:val="00392ACA"/>
    <w:pPr>
      <w:spacing w:line="240" w:lineRule="auto"/>
    </w:pPr>
    <w:rPr>
      <w:sz w:val="20"/>
      <w:szCs w:val="20"/>
    </w:rPr>
  </w:style>
  <w:style w:type="character" w:customStyle="1" w:styleId="CommentTextChar">
    <w:name w:val="Comment Text Char"/>
    <w:basedOn w:val="DefaultParagraphFont"/>
    <w:link w:val="CommentText"/>
    <w:uiPriority w:val="99"/>
    <w:rsid w:val="00392ACA"/>
    <w:rPr>
      <w:sz w:val="20"/>
      <w:szCs w:val="20"/>
    </w:rPr>
  </w:style>
  <w:style w:type="paragraph" w:styleId="CommentSubject">
    <w:name w:val="annotation subject"/>
    <w:basedOn w:val="CommentText"/>
    <w:next w:val="CommentText"/>
    <w:link w:val="CommentSubjectChar"/>
    <w:uiPriority w:val="99"/>
    <w:semiHidden/>
    <w:unhideWhenUsed/>
    <w:rsid w:val="00392ACA"/>
    <w:rPr>
      <w:b/>
      <w:bCs/>
    </w:rPr>
  </w:style>
  <w:style w:type="character" w:customStyle="1" w:styleId="CommentSubjectChar">
    <w:name w:val="Comment Subject Char"/>
    <w:basedOn w:val="CommentTextChar"/>
    <w:link w:val="CommentSubject"/>
    <w:uiPriority w:val="99"/>
    <w:semiHidden/>
    <w:rsid w:val="00392ACA"/>
    <w:rPr>
      <w:b/>
      <w:bCs/>
      <w:sz w:val="20"/>
      <w:szCs w:val="20"/>
    </w:rPr>
  </w:style>
  <w:style w:type="paragraph" w:styleId="BalloonText">
    <w:name w:val="Balloon Text"/>
    <w:basedOn w:val="Normal"/>
    <w:link w:val="BalloonTextChar"/>
    <w:uiPriority w:val="99"/>
    <w:semiHidden/>
    <w:unhideWhenUsed/>
    <w:rsid w:val="0039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ACA"/>
    <w:rPr>
      <w:rFonts w:ascii="Segoe UI" w:hAnsi="Segoe UI" w:cs="Segoe UI"/>
      <w:sz w:val="18"/>
      <w:szCs w:val="18"/>
    </w:rPr>
  </w:style>
  <w:style w:type="character" w:customStyle="1" w:styleId="highlight">
    <w:name w:val="highlight"/>
    <w:basedOn w:val="DefaultParagraphFont"/>
    <w:rsid w:val="009A3DA0"/>
  </w:style>
  <w:style w:type="paragraph" w:styleId="Header">
    <w:name w:val="header"/>
    <w:basedOn w:val="Normal"/>
    <w:link w:val="HeaderChar"/>
    <w:uiPriority w:val="99"/>
    <w:unhideWhenUsed/>
    <w:rsid w:val="00777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A0A"/>
  </w:style>
  <w:style w:type="paragraph" w:styleId="Footer">
    <w:name w:val="footer"/>
    <w:basedOn w:val="Normal"/>
    <w:link w:val="FooterChar"/>
    <w:uiPriority w:val="99"/>
    <w:unhideWhenUsed/>
    <w:rsid w:val="00777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A0A"/>
  </w:style>
  <w:style w:type="character" w:customStyle="1" w:styleId="UnresolvedMention1">
    <w:name w:val="Unresolved Mention1"/>
    <w:basedOn w:val="DefaultParagraphFont"/>
    <w:uiPriority w:val="99"/>
    <w:semiHidden/>
    <w:unhideWhenUsed/>
    <w:rsid w:val="00777A0A"/>
    <w:rPr>
      <w:color w:val="605E5C"/>
      <w:shd w:val="clear" w:color="auto" w:fill="E1DFDD"/>
    </w:rPr>
  </w:style>
  <w:style w:type="paragraph" w:customStyle="1" w:styleId="p2">
    <w:name w:val="p2"/>
    <w:basedOn w:val="Normal"/>
    <w:rsid w:val="00777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200711"/>
  </w:style>
  <w:style w:type="character" w:customStyle="1" w:styleId="UnresolvedMention2">
    <w:name w:val="Unresolved Mention2"/>
    <w:basedOn w:val="DefaultParagraphFont"/>
    <w:uiPriority w:val="99"/>
    <w:semiHidden/>
    <w:unhideWhenUsed/>
    <w:rsid w:val="006D781E"/>
    <w:rPr>
      <w:color w:val="605E5C"/>
      <w:shd w:val="clear" w:color="auto" w:fill="E1DFDD"/>
    </w:rPr>
  </w:style>
  <w:style w:type="character" w:customStyle="1" w:styleId="Heading1Char">
    <w:name w:val="Heading 1 Char"/>
    <w:basedOn w:val="DefaultParagraphFont"/>
    <w:link w:val="Heading1"/>
    <w:uiPriority w:val="9"/>
    <w:rsid w:val="007359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59F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359F2"/>
    <w:rPr>
      <w:i/>
      <w:iCs/>
    </w:rPr>
  </w:style>
  <w:style w:type="character" w:customStyle="1" w:styleId="UnresolvedMention3">
    <w:name w:val="Unresolved Mention3"/>
    <w:basedOn w:val="DefaultParagraphFont"/>
    <w:uiPriority w:val="99"/>
    <w:semiHidden/>
    <w:unhideWhenUsed/>
    <w:rsid w:val="001779AD"/>
    <w:rPr>
      <w:color w:val="605E5C"/>
      <w:shd w:val="clear" w:color="auto" w:fill="E1DFDD"/>
    </w:rPr>
  </w:style>
  <w:style w:type="paragraph" w:customStyle="1" w:styleId="xmsonormal">
    <w:name w:val="x_msonormal"/>
    <w:basedOn w:val="Normal"/>
    <w:uiPriority w:val="99"/>
    <w:rsid w:val="007B1C3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7218">
      <w:bodyDiv w:val="1"/>
      <w:marLeft w:val="0"/>
      <w:marRight w:val="0"/>
      <w:marTop w:val="0"/>
      <w:marBottom w:val="0"/>
      <w:divBdr>
        <w:top w:val="none" w:sz="0" w:space="0" w:color="auto"/>
        <w:left w:val="none" w:sz="0" w:space="0" w:color="auto"/>
        <w:bottom w:val="none" w:sz="0" w:space="0" w:color="auto"/>
        <w:right w:val="none" w:sz="0" w:space="0" w:color="auto"/>
      </w:divBdr>
    </w:div>
    <w:div w:id="125009265">
      <w:bodyDiv w:val="1"/>
      <w:marLeft w:val="0"/>
      <w:marRight w:val="0"/>
      <w:marTop w:val="0"/>
      <w:marBottom w:val="0"/>
      <w:divBdr>
        <w:top w:val="none" w:sz="0" w:space="0" w:color="auto"/>
        <w:left w:val="none" w:sz="0" w:space="0" w:color="auto"/>
        <w:bottom w:val="none" w:sz="0" w:space="0" w:color="auto"/>
        <w:right w:val="none" w:sz="0" w:space="0" w:color="auto"/>
      </w:divBdr>
      <w:divsChild>
        <w:div w:id="1851945722">
          <w:marLeft w:val="0"/>
          <w:marRight w:val="0"/>
          <w:marTop w:val="0"/>
          <w:marBottom w:val="0"/>
          <w:divBdr>
            <w:top w:val="none" w:sz="0" w:space="0" w:color="auto"/>
            <w:left w:val="none" w:sz="0" w:space="0" w:color="auto"/>
            <w:bottom w:val="none" w:sz="0" w:space="0" w:color="auto"/>
            <w:right w:val="none" w:sz="0" w:space="0" w:color="auto"/>
          </w:divBdr>
        </w:div>
      </w:divsChild>
    </w:div>
    <w:div w:id="210504045">
      <w:bodyDiv w:val="1"/>
      <w:marLeft w:val="0"/>
      <w:marRight w:val="0"/>
      <w:marTop w:val="0"/>
      <w:marBottom w:val="0"/>
      <w:divBdr>
        <w:top w:val="none" w:sz="0" w:space="0" w:color="auto"/>
        <w:left w:val="none" w:sz="0" w:space="0" w:color="auto"/>
        <w:bottom w:val="none" w:sz="0" w:space="0" w:color="auto"/>
        <w:right w:val="none" w:sz="0" w:space="0" w:color="auto"/>
      </w:divBdr>
    </w:div>
    <w:div w:id="299196106">
      <w:bodyDiv w:val="1"/>
      <w:marLeft w:val="0"/>
      <w:marRight w:val="0"/>
      <w:marTop w:val="0"/>
      <w:marBottom w:val="0"/>
      <w:divBdr>
        <w:top w:val="none" w:sz="0" w:space="0" w:color="auto"/>
        <w:left w:val="none" w:sz="0" w:space="0" w:color="auto"/>
        <w:bottom w:val="none" w:sz="0" w:space="0" w:color="auto"/>
        <w:right w:val="none" w:sz="0" w:space="0" w:color="auto"/>
      </w:divBdr>
    </w:div>
    <w:div w:id="474031168">
      <w:bodyDiv w:val="1"/>
      <w:marLeft w:val="0"/>
      <w:marRight w:val="0"/>
      <w:marTop w:val="0"/>
      <w:marBottom w:val="0"/>
      <w:divBdr>
        <w:top w:val="none" w:sz="0" w:space="0" w:color="auto"/>
        <w:left w:val="none" w:sz="0" w:space="0" w:color="auto"/>
        <w:bottom w:val="none" w:sz="0" w:space="0" w:color="auto"/>
        <w:right w:val="none" w:sz="0" w:space="0" w:color="auto"/>
      </w:divBdr>
    </w:div>
    <w:div w:id="487554598">
      <w:bodyDiv w:val="1"/>
      <w:marLeft w:val="0"/>
      <w:marRight w:val="0"/>
      <w:marTop w:val="0"/>
      <w:marBottom w:val="0"/>
      <w:divBdr>
        <w:top w:val="none" w:sz="0" w:space="0" w:color="auto"/>
        <w:left w:val="none" w:sz="0" w:space="0" w:color="auto"/>
        <w:bottom w:val="none" w:sz="0" w:space="0" w:color="auto"/>
        <w:right w:val="none" w:sz="0" w:space="0" w:color="auto"/>
      </w:divBdr>
      <w:divsChild>
        <w:div w:id="419521288">
          <w:marLeft w:val="0"/>
          <w:marRight w:val="0"/>
          <w:marTop w:val="0"/>
          <w:marBottom w:val="0"/>
          <w:divBdr>
            <w:top w:val="none" w:sz="0" w:space="0" w:color="auto"/>
            <w:left w:val="none" w:sz="0" w:space="0" w:color="auto"/>
            <w:bottom w:val="none" w:sz="0" w:space="0" w:color="auto"/>
            <w:right w:val="none" w:sz="0" w:space="0" w:color="auto"/>
          </w:divBdr>
          <w:divsChild>
            <w:div w:id="10638782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31892978">
          <w:marLeft w:val="0"/>
          <w:marRight w:val="0"/>
          <w:marTop w:val="0"/>
          <w:marBottom w:val="0"/>
          <w:divBdr>
            <w:top w:val="none" w:sz="0" w:space="0" w:color="auto"/>
            <w:left w:val="none" w:sz="0" w:space="0" w:color="auto"/>
            <w:bottom w:val="none" w:sz="0" w:space="0" w:color="auto"/>
            <w:right w:val="none" w:sz="0" w:space="0" w:color="auto"/>
          </w:divBdr>
        </w:div>
      </w:divsChild>
    </w:div>
    <w:div w:id="559050394">
      <w:bodyDiv w:val="1"/>
      <w:marLeft w:val="0"/>
      <w:marRight w:val="0"/>
      <w:marTop w:val="0"/>
      <w:marBottom w:val="0"/>
      <w:divBdr>
        <w:top w:val="none" w:sz="0" w:space="0" w:color="auto"/>
        <w:left w:val="none" w:sz="0" w:space="0" w:color="auto"/>
        <w:bottom w:val="none" w:sz="0" w:space="0" w:color="auto"/>
        <w:right w:val="none" w:sz="0" w:space="0" w:color="auto"/>
      </w:divBdr>
    </w:div>
    <w:div w:id="838892098">
      <w:bodyDiv w:val="1"/>
      <w:marLeft w:val="0"/>
      <w:marRight w:val="0"/>
      <w:marTop w:val="0"/>
      <w:marBottom w:val="0"/>
      <w:divBdr>
        <w:top w:val="none" w:sz="0" w:space="0" w:color="auto"/>
        <w:left w:val="none" w:sz="0" w:space="0" w:color="auto"/>
        <w:bottom w:val="none" w:sz="0" w:space="0" w:color="auto"/>
        <w:right w:val="none" w:sz="0" w:space="0" w:color="auto"/>
      </w:divBdr>
      <w:divsChild>
        <w:div w:id="973171211">
          <w:marLeft w:val="0"/>
          <w:marRight w:val="0"/>
          <w:marTop w:val="0"/>
          <w:marBottom w:val="0"/>
          <w:divBdr>
            <w:top w:val="none" w:sz="0" w:space="0" w:color="auto"/>
            <w:left w:val="none" w:sz="0" w:space="0" w:color="auto"/>
            <w:bottom w:val="none" w:sz="0" w:space="0" w:color="auto"/>
            <w:right w:val="none" w:sz="0" w:space="0" w:color="auto"/>
          </w:divBdr>
          <w:divsChild>
            <w:div w:id="89597431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39899928">
          <w:marLeft w:val="0"/>
          <w:marRight w:val="0"/>
          <w:marTop w:val="0"/>
          <w:marBottom w:val="0"/>
          <w:divBdr>
            <w:top w:val="none" w:sz="0" w:space="0" w:color="auto"/>
            <w:left w:val="none" w:sz="0" w:space="0" w:color="auto"/>
            <w:bottom w:val="none" w:sz="0" w:space="0" w:color="auto"/>
            <w:right w:val="none" w:sz="0" w:space="0" w:color="auto"/>
          </w:divBdr>
        </w:div>
      </w:divsChild>
    </w:div>
    <w:div w:id="894781762">
      <w:bodyDiv w:val="1"/>
      <w:marLeft w:val="0"/>
      <w:marRight w:val="0"/>
      <w:marTop w:val="0"/>
      <w:marBottom w:val="0"/>
      <w:divBdr>
        <w:top w:val="none" w:sz="0" w:space="0" w:color="auto"/>
        <w:left w:val="none" w:sz="0" w:space="0" w:color="auto"/>
        <w:bottom w:val="none" w:sz="0" w:space="0" w:color="auto"/>
        <w:right w:val="none" w:sz="0" w:space="0" w:color="auto"/>
      </w:divBdr>
    </w:div>
    <w:div w:id="908006358">
      <w:bodyDiv w:val="1"/>
      <w:marLeft w:val="0"/>
      <w:marRight w:val="0"/>
      <w:marTop w:val="0"/>
      <w:marBottom w:val="0"/>
      <w:divBdr>
        <w:top w:val="none" w:sz="0" w:space="0" w:color="auto"/>
        <w:left w:val="none" w:sz="0" w:space="0" w:color="auto"/>
        <w:bottom w:val="none" w:sz="0" w:space="0" w:color="auto"/>
        <w:right w:val="none" w:sz="0" w:space="0" w:color="auto"/>
      </w:divBdr>
    </w:div>
    <w:div w:id="908808737">
      <w:bodyDiv w:val="1"/>
      <w:marLeft w:val="0"/>
      <w:marRight w:val="0"/>
      <w:marTop w:val="0"/>
      <w:marBottom w:val="0"/>
      <w:divBdr>
        <w:top w:val="none" w:sz="0" w:space="0" w:color="auto"/>
        <w:left w:val="none" w:sz="0" w:space="0" w:color="auto"/>
        <w:bottom w:val="none" w:sz="0" w:space="0" w:color="auto"/>
        <w:right w:val="none" w:sz="0" w:space="0" w:color="auto"/>
      </w:divBdr>
      <w:divsChild>
        <w:div w:id="636229443">
          <w:marLeft w:val="0"/>
          <w:marRight w:val="0"/>
          <w:marTop w:val="0"/>
          <w:marBottom w:val="0"/>
          <w:divBdr>
            <w:top w:val="none" w:sz="0" w:space="0" w:color="auto"/>
            <w:left w:val="none" w:sz="0" w:space="0" w:color="auto"/>
            <w:bottom w:val="none" w:sz="0" w:space="0" w:color="auto"/>
            <w:right w:val="none" w:sz="0" w:space="0" w:color="auto"/>
          </w:divBdr>
          <w:divsChild>
            <w:div w:id="90283562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895388614">
          <w:marLeft w:val="0"/>
          <w:marRight w:val="0"/>
          <w:marTop w:val="0"/>
          <w:marBottom w:val="0"/>
          <w:divBdr>
            <w:top w:val="none" w:sz="0" w:space="0" w:color="auto"/>
            <w:left w:val="none" w:sz="0" w:space="0" w:color="auto"/>
            <w:bottom w:val="none" w:sz="0" w:space="0" w:color="auto"/>
            <w:right w:val="none" w:sz="0" w:space="0" w:color="auto"/>
          </w:divBdr>
        </w:div>
      </w:divsChild>
    </w:div>
    <w:div w:id="1131240949">
      <w:bodyDiv w:val="1"/>
      <w:marLeft w:val="0"/>
      <w:marRight w:val="0"/>
      <w:marTop w:val="0"/>
      <w:marBottom w:val="0"/>
      <w:divBdr>
        <w:top w:val="none" w:sz="0" w:space="0" w:color="auto"/>
        <w:left w:val="none" w:sz="0" w:space="0" w:color="auto"/>
        <w:bottom w:val="none" w:sz="0" w:space="0" w:color="auto"/>
        <w:right w:val="none" w:sz="0" w:space="0" w:color="auto"/>
      </w:divBdr>
      <w:divsChild>
        <w:div w:id="1141725624">
          <w:marLeft w:val="0"/>
          <w:marRight w:val="0"/>
          <w:marTop w:val="0"/>
          <w:marBottom w:val="0"/>
          <w:divBdr>
            <w:top w:val="none" w:sz="0" w:space="0" w:color="auto"/>
            <w:left w:val="none" w:sz="0" w:space="0" w:color="auto"/>
            <w:bottom w:val="none" w:sz="0" w:space="0" w:color="auto"/>
            <w:right w:val="none" w:sz="0" w:space="0" w:color="auto"/>
          </w:divBdr>
          <w:divsChild>
            <w:div w:id="67307212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126732032">
          <w:marLeft w:val="0"/>
          <w:marRight w:val="0"/>
          <w:marTop w:val="0"/>
          <w:marBottom w:val="0"/>
          <w:divBdr>
            <w:top w:val="none" w:sz="0" w:space="0" w:color="auto"/>
            <w:left w:val="none" w:sz="0" w:space="0" w:color="auto"/>
            <w:bottom w:val="none" w:sz="0" w:space="0" w:color="auto"/>
            <w:right w:val="none" w:sz="0" w:space="0" w:color="auto"/>
          </w:divBdr>
        </w:div>
      </w:divsChild>
    </w:div>
    <w:div w:id="1245844175">
      <w:bodyDiv w:val="1"/>
      <w:marLeft w:val="0"/>
      <w:marRight w:val="0"/>
      <w:marTop w:val="0"/>
      <w:marBottom w:val="0"/>
      <w:divBdr>
        <w:top w:val="none" w:sz="0" w:space="0" w:color="auto"/>
        <w:left w:val="none" w:sz="0" w:space="0" w:color="auto"/>
        <w:bottom w:val="none" w:sz="0" w:space="0" w:color="auto"/>
        <w:right w:val="none" w:sz="0" w:space="0" w:color="auto"/>
      </w:divBdr>
    </w:div>
    <w:div w:id="1247232215">
      <w:bodyDiv w:val="1"/>
      <w:marLeft w:val="0"/>
      <w:marRight w:val="0"/>
      <w:marTop w:val="0"/>
      <w:marBottom w:val="0"/>
      <w:divBdr>
        <w:top w:val="none" w:sz="0" w:space="0" w:color="auto"/>
        <w:left w:val="none" w:sz="0" w:space="0" w:color="auto"/>
        <w:bottom w:val="none" w:sz="0" w:space="0" w:color="auto"/>
        <w:right w:val="none" w:sz="0" w:space="0" w:color="auto"/>
      </w:divBdr>
    </w:div>
    <w:div w:id="1279799890">
      <w:bodyDiv w:val="1"/>
      <w:marLeft w:val="0"/>
      <w:marRight w:val="0"/>
      <w:marTop w:val="0"/>
      <w:marBottom w:val="0"/>
      <w:divBdr>
        <w:top w:val="none" w:sz="0" w:space="0" w:color="auto"/>
        <w:left w:val="none" w:sz="0" w:space="0" w:color="auto"/>
        <w:bottom w:val="none" w:sz="0" w:space="0" w:color="auto"/>
        <w:right w:val="none" w:sz="0" w:space="0" w:color="auto"/>
      </w:divBdr>
    </w:div>
    <w:div w:id="1290359519">
      <w:bodyDiv w:val="1"/>
      <w:marLeft w:val="0"/>
      <w:marRight w:val="0"/>
      <w:marTop w:val="0"/>
      <w:marBottom w:val="0"/>
      <w:divBdr>
        <w:top w:val="none" w:sz="0" w:space="0" w:color="auto"/>
        <w:left w:val="none" w:sz="0" w:space="0" w:color="auto"/>
        <w:bottom w:val="none" w:sz="0" w:space="0" w:color="auto"/>
        <w:right w:val="none" w:sz="0" w:space="0" w:color="auto"/>
      </w:divBdr>
    </w:div>
    <w:div w:id="1327712108">
      <w:bodyDiv w:val="1"/>
      <w:marLeft w:val="0"/>
      <w:marRight w:val="0"/>
      <w:marTop w:val="0"/>
      <w:marBottom w:val="0"/>
      <w:divBdr>
        <w:top w:val="none" w:sz="0" w:space="0" w:color="auto"/>
        <w:left w:val="none" w:sz="0" w:space="0" w:color="auto"/>
        <w:bottom w:val="none" w:sz="0" w:space="0" w:color="auto"/>
        <w:right w:val="none" w:sz="0" w:space="0" w:color="auto"/>
      </w:divBdr>
    </w:div>
    <w:div w:id="1357345821">
      <w:bodyDiv w:val="1"/>
      <w:marLeft w:val="0"/>
      <w:marRight w:val="0"/>
      <w:marTop w:val="0"/>
      <w:marBottom w:val="0"/>
      <w:divBdr>
        <w:top w:val="none" w:sz="0" w:space="0" w:color="auto"/>
        <w:left w:val="none" w:sz="0" w:space="0" w:color="auto"/>
        <w:bottom w:val="none" w:sz="0" w:space="0" w:color="auto"/>
        <w:right w:val="none" w:sz="0" w:space="0" w:color="auto"/>
      </w:divBdr>
    </w:div>
    <w:div w:id="1386681708">
      <w:bodyDiv w:val="1"/>
      <w:marLeft w:val="0"/>
      <w:marRight w:val="0"/>
      <w:marTop w:val="0"/>
      <w:marBottom w:val="0"/>
      <w:divBdr>
        <w:top w:val="none" w:sz="0" w:space="0" w:color="auto"/>
        <w:left w:val="none" w:sz="0" w:space="0" w:color="auto"/>
        <w:bottom w:val="none" w:sz="0" w:space="0" w:color="auto"/>
        <w:right w:val="none" w:sz="0" w:space="0" w:color="auto"/>
      </w:divBdr>
    </w:div>
    <w:div w:id="1545798790">
      <w:bodyDiv w:val="1"/>
      <w:marLeft w:val="0"/>
      <w:marRight w:val="0"/>
      <w:marTop w:val="0"/>
      <w:marBottom w:val="0"/>
      <w:divBdr>
        <w:top w:val="none" w:sz="0" w:space="0" w:color="auto"/>
        <w:left w:val="none" w:sz="0" w:space="0" w:color="auto"/>
        <w:bottom w:val="none" w:sz="0" w:space="0" w:color="auto"/>
        <w:right w:val="none" w:sz="0" w:space="0" w:color="auto"/>
      </w:divBdr>
    </w:div>
    <w:div w:id="1593125313">
      <w:bodyDiv w:val="1"/>
      <w:marLeft w:val="0"/>
      <w:marRight w:val="0"/>
      <w:marTop w:val="0"/>
      <w:marBottom w:val="0"/>
      <w:divBdr>
        <w:top w:val="none" w:sz="0" w:space="0" w:color="auto"/>
        <w:left w:val="none" w:sz="0" w:space="0" w:color="auto"/>
        <w:bottom w:val="none" w:sz="0" w:space="0" w:color="auto"/>
        <w:right w:val="none" w:sz="0" w:space="0" w:color="auto"/>
      </w:divBdr>
    </w:div>
    <w:div w:id="1597590973">
      <w:bodyDiv w:val="1"/>
      <w:marLeft w:val="0"/>
      <w:marRight w:val="0"/>
      <w:marTop w:val="0"/>
      <w:marBottom w:val="0"/>
      <w:divBdr>
        <w:top w:val="none" w:sz="0" w:space="0" w:color="auto"/>
        <w:left w:val="none" w:sz="0" w:space="0" w:color="auto"/>
        <w:bottom w:val="none" w:sz="0" w:space="0" w:color="auto"/>
        <w:right w:val="none" w:sz="0" w:space="0" w:color="auto"/>
      </w:divBdr>
    </w:div>
    <w:div w:id="1617784729">
      <w:bodyDiv w:val="1"/>
      <w:marLeft w:val="0"/>
      <w:marRight w:val="0"/>
      <w:marTop w:val="0"/>
      <w:marBottom w:val="0"/>
      <w:divBdr>
        <w:top w:val="none" w:sz="0" w:space="0" w:color="auto"/>
        <w:left w:val="none" w:sz="0" w:space="0" w:color="auto"/>
        <w:bottom w:val="none" w:sz="0" w:space="0" w:color="auto"/>
        <w:right w:val="none" w:sz="0" w:space="0" w:color="auto"/>
      </w:divBdr>
    </w:div>
    <w:div w:id="1643852216">
      <w:bodyDiv w:val="1"/>
      <w:marLeft w:val="0"/>
      <w:marRight w:val="0"/>
      <w:marTop w:val="0"/>
      <w:marBottom w:val="0"/>
      <w:divBdr>
        <w:top w:val="none" w:sz="0" w:space="0" w:color="auto"/>
        <w:left w:val="none" w:sz="0" w:space="0" w:color="auto"/>
        <w:bottom w:val="none" w:sz="0" w:space="0" w:color="auto"/>
        <w:right w:val="none" w:sz="0" w:space="0" w:color="auto"/>
      </w:divBdr>
    </w:div>
    <w:div w:id="1762675974">
      <w:bodyDiv w:val="1"/>
      <w:marLeft w:val="0"/>
      <w:marRight w:val="0"/>
      <w:marTop w:val="0"/>
      <w:marBottom w:val="0"/>
      <w:divBdr>
        <w:top w:val="none" w:sz="0" w:space="0" w:color="auto"/>
        <w:left w:val="none" w:sz="0" w:space="0" w:color="auto"/>
        <w:bottom w:val="none" w:sz="0" w:space="0" w:color="auto"/>
        <w:right w:val="none" w:sz="0" w:space="0" w:color="auto"/>
      </w:divBdr>
    </w:div>
    <w:div w:id="1784763755">
      <w:bodyDiv w:val="1"/>
      <w:marLeft w:val="0"/>
      <w:marRight w:val="0"/>
      <w:marTop w:val="0"/>
      <w:marBottom w:val="0"/>
      <w:divBdr>
        <w:top w:val="none" w:sz="0" w:space="0" w:color="auto"/>
        <w:left w:val="none" w:sz="0" w:space="0" w:color="auto"/>
        <w:bottom w:val="none" w:sz="0" w:space="0" w:color="auto"/>
        <w:right w:val="none" w:sz="0" w:space="0" w:color="auto"/>
      </w:divBdr>
    </w:div>
    <w:div w:id="1881821718">
      <w:bodyDiv w:val="1"/>
      <w:marLeft w:val="0"/>
      <w:marRight w:val="0"/>
      <w:marTop w:val="0"/>
      <w:marBottom w:val="0"/>
      <w:divBdr>
        <w:top w:val="none" w:sz="0" w:space="0" w:color="auto"/>
        <w:left w:val="none" w:sz="0" w:space="0" w:color="auto"/>
        <w:bottom w:val="none" w:sz="0" w:space="0" w:color="auto"/>
        <w:right w:val="none" w:sz="0" w:space="0" w:color="auto"/>
      </w:divBdr>
    </w:div>
    <w:div w:id="2068599978">
      <w:bodyDiv w:val="1"/>
      <w:marLeft w:val="0"/>
      <w:marRight w:val="0"/>
      <w:marTop w:val="0"/>
      <w:marBottom w:val="0"/>
      <w:divBdr>
        <w:top w:val="none" w:sz="0" w:space="0" w:color="auto"/>
        <w:left w:val="none" w:sz="0" w:space="0" w:color="auto"/>
        <w:bottom w:val="none" w:sz="0" w:space="0" w:color="auto"/>
        <w:right w:val="none" w:sz="0" w:space="0" w:color="auto"/>
      </w:divBdr>
    </w:div>
    <w:div w:id="2076468966">
      <w:bodyDiv w:val="1"/>
      <w:marLeft w:val="0"/>
      <w:marRight w:val="0"/>
      <w:marTop w:val="0"/>
      <w:marBottom w:val="0"/>
      <w:divBdr>
        <w:top w:val="none" w:sz="0" w:space="0" w:color="auto"/>
        <w:left w:val="none" w:sz="0" w:space="0" w:color="auto"/>
        <w:bottom w:val="none" w:sz="0" w:space="0" w:color="auto"/>
        <w:right w:val="none" w:sz="0" w:space="0" w:color="auto"/>
      </w:divBdr>
    </w:div>
    <w:div w:id="2080401256">
      <w:bodyDiv w:val="1"/>
      <w:marLeft w:val="0"/>
      <w:marRight w:val="0"/>
      <w:marTop w:val="0"/>
      <w:marBottom w:val="0"/>
      <w:divBdr>
        <w:top w:val="none" w:sz="0" w:space="0" w:color="auto"/>
        <w:left w:val="none" w:sz="0" w:space="0" w:color="auto"/>
        <w:bottom w:val="none" w:sz="0" w:space="0" w:color="auto"/>
        <w:right w:val="none" w:sz="0" w:space="0" w:color="auto"/>
      </w:divBdr>
    </w:div>
    <w:div w:id="2112124294">
      <w:bodyDiv w:val="1"/>
      <w:marLeft w:val="0"/>
      <w:marRight w:val="0"/>
      <w:marTop w:val="0"/>
      <w:marBottom w:val="0"/>
      <w:divBdr>
        <w:top w:val="none" w:sz="0" w:space="0" w:color="auto"/>
        <w:left w:val="none" w:sz="0" w:space="0" w:color="auto"/>
        <w:bottom w:val="none" w:sz="0" w:space="0" w:color="auto"/>
        <w:right w:val="none" w:sz="0" w:space="0" w:color="auto"/>
      </w:divBdr>
      <w:divsChild>
        <w:div w:id="789474231">
          <w:marLeft w:val="0"/>
          <w:marRight w:val="0"/>
          <w:marTop w:val="0"/>
          <w:marBottom w:val="0"/>
          <w:divBdr>
            <w:top w:val="none" w:sz="0" w:space="0" w:color="auto"/>
            <w:left w:val="none" w:sz="0" w:space="0" w:color="auto"/>
            <w:bottom w:val="none" w:sz="0" w:space="0" w:color="auto"/>
            <w:right w:val="none" w:sz="0" w:space="0" w:color="auto"/>
          </w:divBdr>
          <w:divsChild>
            <w:div w:id="522204846">
              <w:marLeft w:val="0"/>
              <w:marRight w:val="0"/>
              <w:marTop w:val="0"/>
              <w:marBottom w:val="0"/>
              <w:divBdr>
                <w:top w:val="none" w:sz="0" w:space="0" w:color="auto"/>
                <w:left w:val="none" w:sz="0" w:space="0" w:color="auto"/>
                <w:bottom w:val="none" w:sz="0" w:space="0" w:color="auto"/>
                <w:right w:val="none" w:sz="0" w:space="0" w:color="auto"/>
              </w:divBdr>
              <w:divsChild>
                <w:div w:id="26038097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00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munitycare.co.uk/2019/11/20/where-are-the-black-girls-in-our-services-studies-and-statistics-on-csa/" TargetMode="External"/><Relationship Id="rId18" Type="http://schemas.openxmlformats.org/officeDocument/2006/relationships/hyperlink" Target="mailto:mia.bryden@brighton-hove.gov.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sussexchildprotection.procedures.org.uk/tkyqxo/children-in-specific-circumstances/criminal-and-sexual-exploitation-including-serious-organised-crime-and-gangs/" TargetMode="External"/><Relationship Id="rId17" Type="http://schemas.openxmlformats.org/officeDocument/2006/relationships/hyperlink" Target="https://assets.publishing.service.gov.uk/government/uploads/system/uploads/attachment_data/file/998039/KCPO_Practitioners__Guidance_-July_2021.pdf" TargetMode="External"/><Relationship Id="rId2" Type="http://schemas.openxmlformats.org/officeDocument/2006/relationships/styles" Target="styles.xml"/><Relationship Id="rId16" Type="http://schemas.openxmlformats.org/officeDocument/2006/relationships/hyperlink" Target="https://sussexchildprotection.procedures.org.uk/assets/clients/1/September%202021/NEW%20Child%20Sexual%20Abuse%20Pathway%20STIs%20added%20(4).docx" TargetMode="External"/><Relationship Id="rId20" Type="http://schemas.openxmlformats.org/officeDocument/2006/relationships/hyperlink" Target="https://sussexchildprotection.procedures.org.uk/page/glossary?term=Unexpected+child+death&amp;g=5Az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sexchildprotection.procedures.org.uk/qkps/recognition-and-referral-of-abuse-and-neglect/making-a-referral" TargetMode="External"/><Relationship Id="rId5" Type="http://schemas.openxmlformats.org/officeDocument/2006/relationships/footnotes" Target="footnotes.xml"/><Relationship Id="rId15" Type="http://schemas.openxmlformats.org/officeDocument/2006/relationships/hyperlink" Target="https://sussexchildprotection.procedures.org.uk/assets/clients/1/September%202021/NEW%20Child%20Sexual%20Abuse%20Pathway%20STIs%20added%20(4).doc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ussexchildprotection.procedures.org.uk/page/glossary?term=Unexpected+child+death&amp;g=5AzN" TargetMode="External"/><Relationship Id="rId4" Type="http://schemas.openxmlformats.org/officeDocument/2006/relationships/webSettings" Target="webSettings.xml"/><Relationship Id="rId9" Type="http://schemas.openxmlformats.org/officeDocument/2006/relationships/hyperlink" Target="https://sussexchildprotection.procedures.org.uk/tkyqyo/children-in-specific-circumstances/young-people-and-substance-misuse/"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Brown</dc:creator>
  <cp:lastModifiedBy>Mia Bryden</cp:lastModifiedBy>
  <cp:revision>3</cp:revision>
  <dcterms:created xsi:type="dcterms:W3CDTF">2021-12-10T14:31:00Z</dcterms:created>
  <dcterms:modified xsi:type="dcterms:W3CDTF">2022-01-04T08:34:00Z</dcterms:modified>
</cp:coreProperties>
</file>